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"/>
        <w:tblpPr w:leftFromText="141" w:rightFromText="141" w:vertAnchor="text" w:horzAnchor="margin" w:tblpXSpec="center" w:tblpY="-182"/>
        <w:tblW w:w="0" w:type="auto"/>
        <w:tblLook w:val="04A0" w:firstRow="1" w:lastRow="0" w:firstColumn="1" w:lastColumn="0" w:noHBand="0" w:noVBand="1"/>
      </w:tblPr>
      <w:tblGrid>
        <w:gridCol w:w="10007"/>
      </w:tblGrid>
      <w:tr w:rsidR="003E1B3B" w:rsidRPr="003E1B3B" w:rsidTr="00442DED">
        <w:trPr>
          <w:trHeight w:val="330"/>
        </w:trPr>
        <w:tc>
          <w:tcPr>
            <w:tcW w:w="10007" w:type="dxa"/>
          </w:tcPr>
          <w:p w:rsidR="003E1B3B" w:rsidRPr="003E1B3B" w:rsidRDefault="003E1B3B" w:rsidP="00E74025">
            <w:pPr>
              <w:tabs>
                <w:tab w:val="left" w:pos="2850"/>
              </w:tabs>
              <w:rPr>
                <w:sz w:val="56"/>
                <w:szCs w:val="56"/>
              </w:rPr>
            </w:pPr>
            <w:r>
              <w:rPr>
                <w:sz w:val="56"/>
                <w:szCs w:val="56"/>
              </w:rPr>
              <w:t xml:space="preserve">          </w:t>
            </w:r>
            <w:r w:rsidRPr="003E1B3B">
              <w:rPr>
                <w:sz w:val="56"/>
                <w:szCs w:val="56"/>
              </w:rPr>
              <w:t xml:space="preserve">Etude </w:t>
            </w:r>
            <w:r w:rsidR="00442DED">
              <w:rPr>
                <w:sz w:val="56"/>
                <w:szCs w:val="56"/>
              </w:rPr>
              <w:t>de certaines</w:t>
            </w:r>
            <w:r w:rsidRPr="003E1B3B">
              <w:rPr>
                <w:sz w:val="56"/>
                <w:szCs w:val="56"/>
              </w:rPr>
              <w:t xml:space="preserve"> suites de C</w:t>
            </w:r>
            <w:r w:rsidR="00E74025">
              <w:rPr>
                <w:sz w:val="56"/>
                <w:szCs w:val="56"/>
              </w:rPr>
              <w:t>e</w:t>
            </w:r>
            <w:r w:rsidRPr="003E1B3B">
              <w:rPr>
                <w:sz w:val="56"/>
                <w:szCs w:val="56"/>
              </w:rPr>
              <w:t>s</w:t>
            </w:r>
            <w:r w:rsidR="00E74025">
              <w:rPr>
                <w:sz w:val="56"/>
                <w:szCs w:val="56"/>
              </w:rPr>
              <w:t>a</w:t>
            </w:r>
            <w:bookmarkStart w:id="0" w:name="_GoBack"/>
            <w:bookmarkEnd w:id="0"/>
            <w:r w:rsidRPr="003E1B3B">
              <w:rPr>
                <w:sz w:val="56"/>
                <w:szCs w:val="56"/>
              </w:rPr>
              <w:t>ro</w:t>
            </w:r>
          </w:p>
        </w:tc>
      </w:tr>
    </w:tbl>
    <w:tbl>
      <w:tblPr>
        <w:tblStyle w:val="Grilledutableau"/>
        <w:tblpPr w:leftFromText="141" w:rightFromText="141" w:vertAnchor="text" w:horzAnchor="page" w:tblpX="4078" w:tblpY="644"/>
        <w:tblW w:w="0" w:type="auto"/>
        <w:tblLook w:val="04A0" w:firstRow="1" w:lastRow="0" w:firstColumn="1" w:lastColumn="0" w:noHBand="0" w:noVBand="1"/>
      </w:tblPr>
      <w:tblGrid>
        <w:gridCol w:w="2691"/>
      </w:tblGrid>
      <w:tr w:rsidR="00A21D58" w:rsidRPr="003E1B3B" w:rsidTr="00A21D58">
        <w:trPr>
          <w:trHeight w:val="660"/>
        </w:trPr>
        <w:tc>
          <w:tcPr>
            <w:tcW w:w="2691" w:type="dxa"/>
          </w:tcPr>
          <w:p w:rsidR="00A21D58" w:rsidRPr="003E1B3B" w:rsidRDefault="00A21D58" w:rsidP="00A21D58">
            <w:pPr>
              <w:tabs>
                <w:tab w:val="left" w:pos="2850"/>
              </w:tabs>
              <w:rPr>
                <w:sz w:val="56"/>
                <w:szCs w:val="56"/>
              </w:rPr>
            </w:pPr>
            <w:r>
              <w:rPr>
                <w:sz w:val="56"/>
                <w:szCs w:val="56"/>
              </w:rPr>
              <w:t xml:space="preserve">  </w:t>
            </w:r>
            <w:r w:rsidRPr="003E1B3B">
              <w:rPr>
                <w:sz w:val="56"/>
                <w:szCs w:val="56"/>
              </w:rPr>
              <w:t>Résumé</w:t>
            </w:r>
          </w:p>
        </w:tc>
      </w:tr>
    </w:tbl>
    <w:p w:rsidR="003E1B3B" w:rsidRPr="003E1B3B" w:rsidRDefault="003E1B3B" w:rsidP="003E1B3B">
      <w:pPr>
        <w:tabs>
          <w:tab w:val="left" w:pos="2850"/>
        </w:tabs>
        <w:rPr>
          <w:sz w:val="56"/>
          <w:szCs w:val="56"/>
        </w:rPr>
      </w:pPr>
      <w:r>
        <w:rPr>
          <w:sz w:val="56"/>
          <w:szCs w:val="56"/>
        </w:rPr>
        <w:t xml:space="preserve">                           </w:t>
      </w:r>
    </w:p>
    <w:p w:rsidR="003E1B3B" w:rsidRDefault="003E1B3B" w:rsidP="003E1B3B">
      <w:pPr>
        <w:tabs>
          <w:tab w:val="left" w:pos="2850"/>
        </w:tabs>
        <w:rPr>
          <w:sz w:val="28"/>
          <w:szCs w:val="28"/>
        </w:rPr>
      </w:pPr>
    </w:p>
    <w:p w:rsidR="00A21D58" w:rsidRDefault="00A21D58" w:rsidP="003E1B3B">
      <w:pPr>
        <w:tabs>
          <w:tab w:val="left" w:pos="2850"/>
        </w:tabs>
        <w:rPr>
          <w:sz w:val="28"/>
          <w:szCs w:val="28"/>
        </w:rPr>
      </w:pPr>
    </w:p>
    <w:p w:rsidR="003E1B3B" w:rsidRDefault="003E1B3B" w:rsidP="003E1B3B">
      <w:pPr>
        <w:tabs>
          <w:tab w:val="left" w:pos="2850"/>
        </w:tabs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3E1B3B">
        <w:rPr>
          <w:sz w:val="28"/>
          <w:szCs w:val="28"/>
        </w:rPr>
        <w:t>Ce mémoire</w:t>
      </w:r>
      <w:r>
        <w:rPr>
          <w:sz w:val="28"/>
          <w:szCs w:val="28"/>
        </w:rPr>
        <w:t xml:space="preserve"> est consacré à l’étude de certaines propriétés des suites de Césàro appelées aussi suites auto-duales ou encore suites invariantes par transformation binomiale.</w:t>
      </w:r>
    </w:p>
    <w:p w:rsidR="003E1B3B" w:rsidRDefault="003E1B3B" w:rsidP="003E1B3B">
      <w:pPr>
        <w:tabs>
          <w:tab w:val="left" w:pos="2850"/>
        </w:tabs>
        <w:rPr>
          <w:sz w:val="28"/>
          <w:szCs w:val="28"/>
        </w:rPr>
      </w:pPr>
      <w:r>
        <w:rPr>
          <w:sz w:val="28"/>
          <w:szCs w:val="28"/>
        </w:rPr>
        <w:t xml:space="preserve">    Nous étudions aussi les propriétés des suites appelées s</w:t>
      </w:r>
      <w:r w:rsidR="009171EB">
        <w:rPr>
          <w:sz w:val="28"/>
          <w:szCs w:val="28"/>
        </w:rPr>
        <w:t>uites inversement invariantes. D</w:t>
      </w:r>
      <w:r>
        <w:rPr>
          <w:sz w:val="28"/>
          <w:szCs w:val="28"/>
        </w:rPr>
        <w:t>e nombreuses applications des résultats obtenus sont réalisées.</w:t>
      </w:r>
    </w:p>
    <w:p w:rsidR="003E1B3B" w:rsidRDefault="003E1B3B" w:rsidP="003E1B3B">
      <w:pPr>
        <w:tabs>
          <w:tab w:val="left" w:pos="2850"/>
        </w:tabs>
        <w:rPr>
          <w:sz w:val="28"/>
          <w:szCs w:val="28"/>
        </w:rPr>
      </w:pPr>
      <w:r>
        <w:rPr>
          <w:sz w:val="28"/>
          <w:szCs w:val="28"/>
        </w:rPr>
        <w:t xml:space="preserve">     Nous établissons ainsi des </w:t>
      </w:r>
      <w:r w:rsidR="009171EB">
        <w:rPr>
          <w:sz w:val="28"/>
          <w:szCs w:val="28"/>
        </w:rPr>
        <w:t>propriétés</w:t>
      </w:r>
      <w:r>
        <w:rPr>
          <w:sz w:val="28"/>
          <w:szCs w:val="28"/>
        </w:rPr>
        <w:t xml:space="preserve"> pour les nombres de Fibonacci, les nombres de Lucas, les nombres et poly</w:t>
      </w:r>
      <w:r w:rsidR="00A21D58">
        <w:rPr>
          <w:sz w:val="28"/>
          <w:szCs w:val="28"/>
        </w:rPr>
        <w:t>nômes de Bernoulli et Tchébychev.</w:t>
      </w:r>
    </w:p>
    <w:p w:rsidR="00A21D58" w:rsidRDefault="00A21D58" w:rsidP="003E1B3B">
      <w:pPr>
        <w:tabs>
          <w:tab w:val="left" w:pos="2850"/>
        </w:tabs>
        <w:rPr>
          <w:sz w:val="28"/>
          <w:szCs w:val="28"/>
        </w:rPr>
      </w:pPr>
      <w:r>
        <w:rPr>
          <w:sz w:val="28"/>
          <w:szCs w:val="28"/>
        </w:rPr>
        <w:t xml:space="preserve">     Nous examinons enfin les perspectives de recherches que cette étude approfondie nous permet d’entrevoir.</w:t>
      </w:r>
    </w:p>
    <w:p w:rsidR="003E1B3B" w:rsidRPr="003E1B3B" w:rsidRDefault="003E1B3B" w:rsidP="003E1B3B">
      <w:pPr>
        <w:tabs>
          <w:tab w:val="left" w:pos="2850"/>
        </w:tabs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07BDE" w:rsidRPr="003E1B3B" w:rsidRDefault="003E1B3B" w:rsidP="003E1B3B">
      <w:pPr>
        <w:tabs>
          <w:tab w:val="left" w:pos="2850"/>
        </w:tabs>
        <w:rPr>
          <w:sz w:val="56"/>
          <w:szCs w:val="56"/>
        </w:rPr>
      </w:pPr>
      <w:r w:rsidRPr="003E1B3B">
        <w:rPr>
          <w:sz w:val="56"/>
          <w:szCs w:val="56"/>
        </w:rPr>
        <w:tab/>
      </w:r>
    </w:p>
    <w:sectPr w:rsidR="00D07BDE" w:rsidRPr="003E1B3B" w:rsidSect="00A21D58">
      <w:pgSz w:w="11906" w:h="16838"/>
      <w:pgMar w:top="1417" w:right="566" w:bottom="1417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3E1B3B"/>
    <w:rsid w:val="003E1B3B"/>
    <w:rsid w:val="00442DED"/>
    <w:rsid w:val="007E1EF3"/>
    <w:rsid w:val="009171EB"/>
    <w:rsid w:val="00A21D58"/>
    <w:rsid w:val="00D07BDE"/>
    <w:rsid w:val="00E7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9107A1-0BD7-461E-9E2C-9DF65F1909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E1B3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2A31FF-B4FD-46A6-85B7-7F590995B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104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Ramine</cp:lastModifiedBy>
  <cp:revision>6</cp:revision>
  <dcterms:created xsi:type="dcterms:W3CDTF">2014-09-07T16:32:00Z</dcterms:created>
  <dcterms:modified xsi:type="dcterms:W3CDTF">2014-09-08T21:38:00Z</dcterms:modified>
</cp:coreProperties>
</file>