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302E" w:rsidRPr="00B06896" w:rsidRDefault="005E143D" w:rsidP="005D60DE">
      <w:pPr>
        <w:bidi w:val="0"/>
        <w:spacing w:line="240" w:lineRule="auto"/>
        <w:rPr>
          <w:rFonts w:ascii="Garamond" w:hAnsi="Garamond"/>
          <w:b/>
          <w:bCs/>
          <w:sz w:val="28"/>
          <w:szCs w:val="28"/>
          <w:lang w:val="fr-FR"/>
        </w:rPr>
      </w:pPr>
      <w:r w:rsidRPr="00B06896">
        <w:rPr>
          <w:rFonts w:ascii="Garamond" w:hAnsi="Garamond"/>
          <w:b/>
          <w:bCs/>
          <w:sz w:val="28"/>
          <w:szCs w:val="28"/>
          <w:lang w:val="fr-FR"/>
        </w:rPr>
        <w:t>RESUME</w:t>
      </w:r>
    </w:p>
    <w:p w:rsidR="00084486" w:rsidRPr="00084486" w:rsidRDefault="0069084D" w:rsidP="00115810">
      <w:pPr>
        <w:bidi w:val="0"/>
        <w:spacing w:before="120" w:after="120" w:line="240" w:lineRule="auto"/>
        <w:jc w:val="both"/>
        <w:rPr>
          <w:rFonts w:ascii="Garamond" w:hAnsi="Garamond"/>
          <w:sz w:val="24"/>
          <w:szCs w:val="24"/>
          <w:lang w:val="fr-FR" w:bidi="ar-DZ"/>
        </w:rPr>
      </w:pPr>
      <w:r>
        <w:rPr>
          <w:rFonts w:ascii="Garamond" w:hAnsi="Garamond"/>
          <w:sz w:val="24"/>
          <w:szCs w:val="24"/>
          <w:lang w:val="fr-FR" w:bidi="ar-DZ"/>
        </w:rPr>
        <w:t>D</w:t>
      </w:r>
      <w:r w:rsidR="005E143D" w:rsidRPr="005E25C2">
        <w:rPr>
          <w:rFonts w:ascii="Garamond" w:hAnsi="Garamond"/>
          <w:sz w:val="24"/>
          <w:szCs w:val="24"/>
          <w:lang w:val="fr-FR" w:bidi="ar-DZ"/>
        </w:rPr>
        <w:t xml:space="preserve">ans les structures métalliques, le type d'assemblage joue un rôle très important dans le comportement des structures. Il est </w:t>
      </w:r>
      <w:r w:rsidR="00084486">
        <w:rPr>
          <w:rFonts w:ascii="Garamond" w:hAnsi="Garamond"/>
          <w:sz w:val="24"/>
          <w:szCs w:val="24"/>
          <w:lang w:val="fr-FR" w:bidi="ar-DZ"/>
        </w:rPr>
        <w:t xml:space="preserve">habituellement </w:t>
      </w:r>
      <w:r w:rsidR="005E143D" w:rsidRPr="005E25C2">
        <w:rPr>
          <w:rFonts w:ascii="Garamond" w:hAnsi="Garamond"/>
          <w:sz w:val="24"/>
          <w:szCs w:val="24"/>
          <w:lang w:val="fr-FR" w:bidi="ar-DZ"/>
        </w:rPr>
        <w:t>consid</w:t>
      </w:r>
      <w:r w:rsidR="00084486">
        <w:rPr>
          <w:rFonts w:ascii="Garamond" w:hAnsi="Garamond"/>
          <w:sz w:val="24"/>
          <w:szCs w:val="24"/>
          <w:lang w:val="fr-FR" w:bidi="ar-DZ"/>
        </w:rPr>
        <w:t xml:space="preserve">éré comme </w:t>
      </w:r>
      <w:r w:rsidR="005E143D" w:rsidRPr="005E25C2">
        <w:rPr>
          <w:rFonts w:ascii="Garamond" w:hAnsi="Garamond"/>
          <w:sz w:val="24"/>
          <w:szCs w:val="24"/>
          <w:lang w:val="fr-FR" w:bidi="ar-DZ"/>
        </w:rPr>
        <w:t xml:space="preserve"> rigide  ou articulé,</w:t>
      </w:r>
      <w:r w:rsidR="00957716">
        <w:rPr>
          <w:rFonts w:ascii="Garamond" w:hAnsi="Garamond"/>
          <w:sz w:val="24"/>
          <w:szCs w:val="24"/>
          <w:lang w:val="fr-FR" w:bidi="ar-DZ"/>
        </w:rPr>
        <w:t xml:space="preserve"> mais en réalité il est de</w:t>
      </w:r>
      <w:r w:rsidR="005E143D" w:rsidRPr="005E25C2">
        <w:rPr>
          <w:rFonts w:ascii="Garamond" w:hAnsi="Garamond"/>
          <w:sz w:val="24"/>
          <w:szCs w:val="24"/>
          <w:lang w:val="fr-FR" w:bidi="ar-DZ"/>
        </w:rPr>
        <w:t xml:space="preserve"> semi rigide</w:t>
      </w:r>
      <w:r w:rsidR="00957716">
        <w:rPr>
          <w:rFonts w:ascii="Garamond" w:hAnsi="Garamond"/>
          <w:sz w:val="24"/>
          <w:szCs w:val="24"/>
          <w:lang w:val="fr-FR" w:bidi="ar-DZ"/>
        </w:rPr>
        <w:t>.</w:t>
      </w:r>
      <w:r w:rsidR="006B70D0">
        <w:rPr>
          <w:rFonts w:ascii="Garamond" w:hAnsi="Garamond"/>
          <w:sz w:val="24"/>
          <w:szCs w:val="24"/>
          <w:lang w:val="fr-FR" w:bidi="ar-DZ"/>
        </w:rPr>
        <w:t xml:space="preserve"> </w:t>
      </w:r>
      <w:r w:rsidR="00084486" w:rsidRPr="00084486">
        <w:rPr>
          <w:rFonts w:ascii="Garamond" w:hAnsi="Garamond"/>
          <w:sz w:val="24"/>
          <w:szCs w:val="24"/>
          <w:lang w:val="fr-FR" w:bidi="ar-DZ"/>
        </w:rPr>
        <w:t>Ce travail est motivé par diverses questions qui se posent sur la considération de la spécificité de l'assemblage semi rigide dans le cadre des règles parasismiques Algérienne, RPA 99/2003.</w:t>
      </w:r>
    </w:p>
    <w:p w:rsidR="005E143D" w:rsidRPr="00115810" w:rsidRDefault="00957716" w:rsidP="005D60DE">
      <w:pPr>
        <w:bidi w:val="0"/>
        <w:spacing w:before="120" w:after="120" w:line="240" w:lineRule="auto"/>
        <w:jc w:val="both"/>
        <w:rPr>
          <w:rFonts w:ascii="Garamond" w:hAnsi="Garamond"/>
          <w:sz w:val="24"/>
          <w:szCs w:val="24"/>
          <w:lang w:bidi="ar-DZ"/>
        </w:rPr>
      </w:pPr>
      <w:r>
        <w:rPr>
          <w:rFonts w:ascii="Garamond" w:hAnsi="Garamond"/>
          <w:sz w:val="24"/>
          <w:szCs w:val="24"/>
          <w:lang w:val="fr-FR" w:bidi="ar-DZ"/>
        </w:rPr>
        <w:t xml:space="preserve">La comparaison </w:t>
      </w:r>
      <w:r w:rsidR="005E143D">
        <w:rPr>
          <w:rFonts w:ascii="Garamond" w:hAnsi="Garamond"/>
          <w:sz w:val="24"/>
          <w:szCs w:val="24"/>
          <w:lang w:val="fr-FR" w:bidi="ar-DZ"/>
        </w:rPr>
        <w:t xml:space="preserve">de </w:t>
      </w:r>
      <w:r>
        <w:rPr>
          <w:rFonts w:ascii="Garamond" w:hAnsi="Garamond"/>
          <w:sz w:val="24"/>
          <w:szCs w:val="24"/>
          <w:lang w:val="fr-FR" w:bidi="ar-DZ"/>
        </w:rPr>
        <w:t>deux types de structures</w:t>
      </w:r>
      <w:r w:rsidR="005E143D">
        <w:rPr>
          <w:rFonts w:ascii="Garamond" w:hAnsi="Garamond"/>
          <w:sz w:val="24"/>
          <w:szCs w:val="24"/>
          <w:lang w:val="fr-FR" w:bidi="ar-DZ"/>
        </w:rPr>
        <w:t xml:space="preserve"> à nœuds rigide</w:t>
      </w:r>
      <w:r>
        <w:rPr>
          <w:rFonts w:ascii="Garamond" w:hAnsi="Garamond"/>
          <w:sz w:val="24"/>
          <w:szCs w:val="24"/>
          <w:lang w:val="fr-FR" w:bidi="ar-DZ"/>
        </w:rPr>
        <w:t>s</w:t>
      </w:r>
      <w:r w:rsidR="005E143D">
        <w:rPr>
          <w:rFonts w:ascii="Garamond" w:hAnsi="Garamond"/>
          <w:sz w:val="24"/>
          <w:szCs w:val="24"/>
          <w:lang w:val="fr-FR" w:bidi="ar-DZ"/>
        </w:rPr>
        <w:t xml:space="preserve"> et semi-rigide</w:t>
      </w:r>
      <w:r>
        <w:rPr>
          <w:rFonts w:ascii="Garamond" w:hAnsi="Garamond"/>
          <w:sz w:val="24"/>
          <w:szCs w:val="24"/>
          <w:lang w:val="fr-FR" w:bidi="ar-DZ"/>
        </w:rPr>
        <w:t>s est</w:t>
      </w:r>
      <w:r w:rsidR="00084486">
        <w:rPr>
          <w:rFonts w:ascii="Garamond" w:hAnsi="Garamond"/>
          <w:sz w:val="24"/>
          <w:szCs w:val="24"/>
          <w:lang w:val="fr-FR" w:bidi="ar-DZ"/>
        </w:rPr>
        <w:t xml:space="preserve"> alors</w:t>
      </w:r>
      <w:r w:rsidR="006B70D0">
        <w:rPr>
          <w:rFonts w:ascii="Garamond" w:hAnsi="Garamond"/>
          <w:sz w:val="24"/>
          <w:szCs w:val="24"/>
          <w:lang w:val="fr-FR" w:bidi="ar-DZ"/>
        </w:rPr>
        <w:t xml:space="preserve"> menée</w:t>
      </w:r>
      <w:r>
        <w:rPr>
          <w:rFonts w:ascii="Garamond" w:hAnsi="Garamond"/>
          <w:sz w:val="24"/>
          <w:szCs w:val="24"/>
          <w:lang w:val="fr-FR" w:bidi="ar-DZ"/>
        </w:rPr>
        <w:t xml:space="preserve">, </w:t>
      </w:r>
      <w:r w:rsidR="005E143D">
        <w:rPr>
          <w:rFonts w:ascii="Garamond" w:hAnsi="Garamond"/>
          <w:sz w:val="24"/>
          <w:szCs w:val="24"/>
          <w:lang w:val="fr-FR" w:bidi="ar-DZ"/>
        </w:rPr>
        <w:t xml:space="preserve">leur comportement inélastique </w:t>
      </w:r>
      <w:r>
        <w:rPr>
          <w:rFonts w:ascii="Garamond" w:hAnsi="Garamond"/>
          <w:sz w:val="24"/>
          <w:szCs w:val="24"/>
          <w:lang w:val="fr-FR" w:bidi="ar-DZ"/>
        </w:rPr>
        <w:t xml:space="preserve">est </w:t>
      </w:r>
      <w:r w:rsidR="00084486">
        <w:rPr>
          <w:rFonts w:ascii="Garamond" w:hAnsi="Garamond"/>
          <w:sz w:val="24"/>
          <w:szCs w:val="24"/>
          <w:lang w:val="fr-FR" w:bidi="ar-DZ"/>
        </w:rPr>
        <w:t xml:space="preserve">ainsi </w:t>
      </w:r>
      <w:r>
        <w:rPr>
          <w:rFonts w:ascii="Garamond" w:hAnsi="Garamond"/>
          <w:sz w:val="24"/>
          <w:szCs w:val="24"/>
          <w:lang w:val="fr-FR" w:bidi="ar-DZ"/>
        </w:rPr>
        <w:t xml:space="preserve">évalué </w:t>
      </w:r>
      <w:r w:rsidR="005E143D">
        <w:rPr>
          <w:rFonts w:ascii="Garamond" w:hAnsi="Garamond"/>
          <w:sz w:val="24"/>
          <w:szCs w:val="24"/>
          <w:lang w:val="fr-FR" w:bidi="ar-DZ"/>
        </w:rPr>
        <w:t>par la méthode Pushover</w:t>
      </w:r>
      <w:r w:rsidR="00797BD4">
        <w:rPr>
          <w:rFonts w:ascii="Garamond" w:hAnsi="Garamond"/>
          <w:sz w:val="24"/>
          <w:szCs w:val="24"/>
          <w:lang w:val="fr-FR" w:bidi="ar-DZ"/>
        </w:rPr>
        <w:t xml:space="preserve"> conventionnelle N2</w:t>
      </w:r>
      <w:r w:rsidR="00084486">
        <w:rPr>
          <w:rFonts w:ascii="Garamond" w:hAnsi="Garamond"/>
          <w:sz w:val="24"/>
          <w:szCs w:val="24"/>
          <w:lang w:val="fr-FR" w:bidi="ar-DZ"/>
        </w:rPr>
        <w:t xml:space="preserve"> et comparé à</w:t>
      </w:r>
      <w:r w:rsidR="006B70D0">
        <w:rPr>
          <w:rFonts w:ascii="Garamond" w:hAnsi="Garamond"/>
          <w:sz w:val="24"/>
          <w:szCs w:val="24"/>
          <w:lang w:val="fr-FR" w:bidi="ar-DZ"/>
        </w:rPr>
        <w:t xml:space="preserve"> </w:t>
      </w:r>
      <w:r>
        <w:rPr>
          <w:rFonts w:ascii="Garamond" w:hAnsi="Garamond"/>
          <w:sz w:val="24"/>
          <w:szCs w:val="24"/>
          <w:lang w:val="fr-FR" w:bidi="ar-DZ"/>
        </w:rPr>
        <w:t>l'analyse dynamique non linéaire</w:t>
      </w:r>
      <w:r w:rsidR="00084486">
        <w:rPr>
          <w:rFonts w:ascii="Garamond" w:hAnsi="Garamond"/>
          <w:sz w:val="24"/>
          <w:szCs w:val="24"/>
          <w:lang w:val="fr-FR" w:bidi="ar-DZ"/>
        </w:rPr>
        <w:t xml:space="preserve">. </w:t>
      </w:r>
      <w:r w:rsidR="00797BD4">
        <w:rPr>
          <w:rFonts w:ascii="Garamond" w:hAnsi="Garamond"/>
          <w:sz w:val="24"/>
          <w:szCs w:val="24"/>
          <w:lang w:val="fr-FR" w:bidi="ar-DZ"/>
        </w:rPr>
        <w:t>Les résultats obtenus montrent que la plastification des structures à nœuds semi rigides  se font au niveau de l'assemblage alors que ceux à nœuds rigides se font au niveau des éléments.</w:t>
      </w:r>
      <w:bookmarkStart w:id="0" w:name="_GoBack"/>
      <w:bookmarkEnd w:id="0"/>
    </w:p>
    <w:sectPr w:rsidR="005E143D" w:rsidRPr="00115810" w:rsidSect="00BD52AE">
      <w:footerReference w:type="default" r:id="rId7"/>
      <w:type w:val="continuous"/>
      <w:pgSz w:w="11906" w:h="16838"/>
      <w:pgMar w:top="1440" w:right="1797" w:bottom="1440" w:left="1797" w:header="709" w:footer="709" w:gutter="0"/>
      <w:pgNumType w:fmt="lowerRoman" w:start="2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26F61" w:rsidRDefault="00826F61" w:rsidP="00BD52AE">
      <w:pPr>
        <w:spacing w:after="0" w:line="240" w:lineRule="auto"/>
      </w:pPr>
      <w:r>
        <w:separator/>
      </w:r>
    </w:p>
  </w:endnote>
  <w:endnote w:type="continuationSeparator" w:id="0">
    <w:p w:rsidR="00826F61" w:rsidRDefault="00826F61" w:rsidP="00BD52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-1993557659"/>
      <w:docPartObj>
        <w:docPartGallery w:val="Page Numbers (Bottom of Page)"/>
        <w:docPartUnique/>
      </w:docPartObj>
    </w:sdtPr>
    <w:sdtEndPr/>
    <w:sdtContent>
      <w:p w:rsidR="00BD52AE" w:rsidRDefault="00BD52AE">
        <w:pPr>
          <w:pStyle w:val="Pieddepag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15810" w:rsidRPr="00115810">
          <w:rPr>
            <w:noProof/>
            <w:lang w:val="fr-FR"/>
          </w:rPr>
          <w:t>ii</w:t>
        </w:r>
        <w:r>
          <w:fldChar w:fldCharType="end"/>
        </w:r>
      </w:p>
    </w:sdtContent>
  </w:sdt>
  <w:p w:rsidR="00BD52AE" w:rsidRDefault="00BD52AE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26F61" w:rsidRDefault="00826F61" w:rsidP="00BD52AE">
      <w:pPr>
        <w:spacing w:after="0" w:line="240" w:lineRule="auto"/>
      </w:pPr>
      <w:r>
        <w:separator/>
      </w:r>
    </w:p>
  </w:footnote>
  <w:footnote w:type="continuationSeparator" w:id="0">
    <w:p w:rsidR="00826F61" w:rsidRDefault="00826F61" w:rsidP="00BD52A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143D"/>
    <w:rsid w:val="00084486"/>
    <w:rsid w:val="000D09CE"/>
    <w:rsid w:val="00115810"/>
    <w:rsid w:val="001C1874"/>
    <w:rsid w:val="001C302E"/>
    <w:rsid w:val="00281143"/>
    <w:rsid w:val="002C1EF4"/>
    <w:rsid w:val="00365E32"/>
    <w:rsid w:val="004C73AC"/>
    <w:rsid w:val="005C022C"/>
    <w:rsid w:val="005D1A6E"/>
    <w:rsid w:val="005D60DE"/>
    <w:rsid w:val="005D6523"/>
    <w:rsid w:val="005E143D"/>
    <w:rsid w:val="0069084D"/>
    <w:rsid w:val="006B70D0"/>
    <w:rsid w:val="00774C54"/>
    <w:rsid w:val="00797BD4"/>
    <w:rsid w:val="00821534"/>
    <w:rsid w:val="00826F61"/>
    <w:rsid w:val="00957716"/>
    <w:rsid w:val="00A85143"/>
    <w:rsid w:val="00B06896"/>
    <w:rsid w:val="00B1102B"/>
    <w:rsid w:val="00B333BE"/>
    <w:rsid w:val="00B969D8"/>
    <w:rsid w:val="00BD52AE"/>
    <w:rsid w:val="00BD775C"/>
    <w:rsid w:val="00C1610E"/>
    <w:rsid w:val="00CA133E"/>
    <w:rsid w:val="00D02563"/>
    <w:rsid w:val="00D56B8A"/>
    <w:rsid w:val="00DF63AE"/>
    <w:rsid w:val="00E3230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BD52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BD52AE"/>
  </w:style>
  <w:style w:type="paragraph" w:styleId="Pieddepage">
    <w:name w:val="footer"/>
    <w:basedOn w:val="Normal"/>
    <w:link w:val="PieddepageCar"/>
    <w:uiPriority w:val="99"/>
    <w:unhideWhenUsed/>
    <w:rsid w:val="00BD52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BD52A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BD52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BD52AE"/>
  </w:style>
  <w:style w:type="paragraph" w:styleId="Pieddepage">
    <w:name w:val="footer"/>
    <w:basedOn w:val="Normal"/>
    <w:link w:val="PieddepageCar"/>
    <w:uiPriority w:val="99"/>
    <w:unhideWhenUsed/>
    <w:rsid w:val="00BD52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BD52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SAIDHICHAM</dc:creator>
  <cp:lastModifiedBy>SAIDHICHAM</cp:lastModifiedBy>
  <cp:revision>2</cp:revision>
  <cp:lastPrinted>2013-09-12T02:52:00Z</cp:lastPrinted>
  <dcterms:created xsi:type="dcterms:W3CDTF">2013-11-07T10:53:00Z</dcterms:created>
  <dcterms:modified xsi:type="dcterms:W3CDTF">2013-11-07T10:53:00Z</dcterms:modified>
</cp:coreProperties>
</file>