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62B0" w:rsidRPr="008C1318" w:rsidRDefault="00FF62B0" w:rsidP="00FF62B0">
      <w:pPr>
        <w:pStyle w:val="Default"/>
        <w:jc w:val="both"/>
        <w:rPr>
          <w:b/>
          <w:bCs/>
          <w:sz w:val="32"/>
          <w:szCs w:val="32"/>
        </w:rPr>
      </w:pPr>
      <w:bookmarkStart w:id="0" w:name="_GoBack"/>
      <w:r w:rsidRPr="008C1318">
        <w:rPr>
          <w:b/>
          <w:bCs/>
          <w:sz w:val="32"/>
          <w:szCs w:val="32"/>
        </w:rPr>
        <w:t xml:space="preserve">Résumé </w:t>
      </w:r>
    </w:p>
    <w:bookmarkEnd w:id="0"/>
    <w:p w:rsidR="00FF62B0" w:rsidRDefault="00FF62B0" w:rsidP="00FF62B0">
      <w:pPr>
        <w:pStyle w:val="Default"/>
        <w:spacing w:line="276" w:lineRule="auto"/>
        <w:jc w:val="both"/>
      </w:pPr>
    </w:p>
    <w:p w:rsidR="00FF62B0" w:rsidRPr="002B6A12" w:rsidRDefault="00FF62B0" w:rsidP="00FF62B0">
      <w:pPr>
        <w:pStyle w:val="Default"/>
        <w:spacing w:line="276" w:lineRule="auto"/>
        <w:jc w:val="both"/>
      </w:pPr>
      <w:r w:rsidRPr="002B6A12">
        <w:t xml:space="preserve">La désertification est un fléau engendré par la pression croissante du pâturage qui est remis en cause par le "reverdissement" observé surtout au Sahel. A la question sur la réalité du phénomène de désertification, le présent travail tente de répondre par une approche diachronique paysagère. Une comparaison entre l’état actuel (2014) de la végétation aux états antérieurs (1978 et 2006) a été effectuée. L’analyse des changements des unités paysagères, basée sur la physionomie des espèces dominantes, montre une fragmentation des paysages steppiques préexistants en différents stades de dégradation. Les steppes à </w:t>
      </w:r>
      <w:r w:rsidRPr="002B6A12">
        <w:rPr>
          <w:i/>
          <w:iCs/>
        </w:rPr>
        <w:t xml:space="preserve">Stipa </w:t>
      </w:r>
      <w:proofErr w:type="spellStart"/>
      <w:r w:rsidRPr="002B6A12">
        <w:rPr>
          <w:i/>
          <w:iCs/>
        </w:rPr>
        <w:t>tenacissima</w:t>
      </w:r>
      <w:proofErr w:type="spellEnd"/>
      <w:r w:rsidRPr="002B6A12">
        <w:t xml:space="preserve"> (Alfa) ont perdu 94 % de leur surface depuis 1978. Celles à </w:t>
      </w:r>
      <w:proofErr w:type="spellStart"/>
      <w:r w:rsidRPr="002B6A12">
        <w:rPr>
          <w:i/>
          <w:iCs/>
        </w:rPr>
        <w:t>Lygeum</w:t>
      </w:r>
      <w:proofErr w:type="spellEnd"/>
      <w:r w:rsidRPr="002B6A12">
        <w:rPr>
          <w:i/>
          <w:iCs/>
        </w:rPr>
        <w:t xml:space="preserve"> </w:t>
      </w:r>
      <w:proofErr w:type="spellStart"/>
      <w:r w:rsidRPr="002B6A12">
        <w:rPr>
          <w:i/>
          <w:iCs/>
        </w:rPr>
        <w:t>spartum</w:t>
      </w:r>
      <w:proofErr w:type="spellEnd"/>
      <w:r w:rsidRPr="002B6A12">
        <w:rPr>
          <w:i/>
          <w:iCs/>
        </w:rPr>
        <w:t xml:space="preserve"> </w:t>
      </w:r>
      <w:r w:rsidRPr="002B6A12">
        <w:t xml:space="preserve">(Sparte), après avoir augmenté de 4 % de 1978 à 2006, ont diminué de 13 % de 2006 à 2014. Ces dernières ont disparu de leur emplacement préexistant (80 % des cas) et ont conquis de nouveaux espaces essentiellement au détriment des steppes d’Alfa (60 % de la surface actuelle). Actuellement, deux types de steppes occupent presque 80 % de la surface totale de la zone d’étude ; celles à </w:t>
      </w:r>
      <w:proofErr w:type="spellStart"/>
      <w:r>
        <w:rPr>
          <w:i/>
          <w:iCs/>
        </w:rPr>
        <w:t>Lygeum</w:t>
      </w:r>
      <w:proofErr w:type="spellEnd"/>
      <w:r>
        <w:rPr>
          <w:i/>
          <w:iCs/>
        </w:rPr>
        <w:t xml:space="preserve"> </w:t>
      </w:r>
      <w:proofErr w:type="spellStart"/>
      <w:r>
        <w:rPr>
          <w:i/>
          <w:iCs/>
        </w:rPr>
        <w:t>spartum</w:t>
      </w:r>
      <w:proofErr w:type="spellEnd"/>
      <w:r w:rsidRPr="002B6A12">
        <w:t xml:space="preserve"> et à </w:t>
      </w:r>
      <w:proofErr w:type="spellStart"/>
      <w:r w:rsidRPr="002B6A12">
        <w:rPr>
          <w:i/>
          <w:iCs/>
        </w:rPr>
        <w:t>Atractylis</w:t>
      </w:r>
      <w:proofErr w:type="spellEnd"/>
      <w:r w:rsidRPr="002B6A12">
        <w:rPr>
          <w:i/>
          <w:iCs/>
        </w:rPr>
        <w:t xml:space="preserve"> </w:t>
      </w:r>
      <w:proofErr w:type="spellStart"/>
      <w:r w:rsidRPr="002B6A12">
        <w:rPr>
          <w:i/>
          <w:iCs/>
        </w:rPr>
        <w:t>serratuloides</w:t>
      </w:r>
      <w:proofErr w:type="spellEnd"/>
      <w:r w:rsidRPr="002B6A12">
        <w:rPr>
          <w:i/>
          <w:iCs/>
        </w:rPr>
        <w:t xml:space="preserve"> </w:t>
      </w:r>
      <w:r w:rsidRPr="002B6A12">
        <w:t>occupent respectivement 35 et 33 %. L’Alfa qui résiste se cantonne aux versants, à des altitudes supérieures à 1250 m.</w:t>
      </w:r>
    </w:p>
    <w:p w:rsidR="00FF62B0" w:rsidRPr="002B6A12" w:rsidRDefault="00FF62B0" w:rsidP="00FF62B0">
      <w:pPr>
        <w:pStyle w:val="Default"/>
        <w:spacing w:line="276" w:lineRule="auto"/>
        <w:jc w:val="both"/>
      </w:pPr>
      <w:r w:rsidRPr="002B6A12">
        <w:t xml:space="preserve">Les tendances évolutives des paysages montrent un changement dominant partant d’un paysage à Alfa vers le paysage à </w:t>
      </w:r>
      <w:proofErr w:type="spellStart"/>
      <w:r>
        <w:rPr>
          <w:i/>
          <w:iCs/>
        </w:rPr>
        <w:t>Lygeum</w:t>
      </w:r>
      <w:proofErr w:type="spellEnd"/>
      <w:r>
        <w:rPr>
          <w:i/>
          <w:iCs/>
        </w:rPr>
        <w:t xml:space="preserve"> </w:t>
      </w:r>
      <w:proofErr w:type="spellStart"/>
      <w:r>
        <w:rPr>
          <w:i/>
          <w:iCs/>
        </w:rPr>
        <w:t>spartum</w:t>
      </w:r>
      <w:proofErr w:type="spellEnd"/>
      <w:r w:rsidRPr="002B6A12">
        <w:t xml:space="preserve"> et aboutissant à un paysage à </w:t>
      </w:r>
      <w:r>
        <w:t xml:space="preserve">        </w:t>
      </w:r>
      <w:proofErr w:type="spellStart"/>
      <w:r>
        <w:rPr>
          <w:i/>
          <w:iCs/>
        </w:rPr>
        <w:t>Atractylis</w:t>
      </w:r>
      <w:proofErr w:type="spellEnd"/>
      <w:r>
        <w:rPr>
          <w:i/>
          <w:iCs/>
        </w:rPr>
        <w:t xml:space="preserve"> </w:t>
      </w:r>
      <w:proofErr w:type="spellStart"/>
      <w:r>
        <w:rPr>
          <w:i/>
          <w:iCs/>
        </w:rPr>
        <w:t>serratuloides</w:t>
      </w:r>
      <w:proofErr w:type="spellEnd"/>
      <w:r w:rsidRPr="002B6A12">
        <w:t>.</w:t>
      </w:r>
    </w:p>
    <w:p w:rsidR="00FF62B0" w:rsidRPr="002B6A12" w:rsidRDefault="00FF62B0" w:rsidP="00FF62B0">
      <w:pPr>
        <w:pStyle w:val="Default"/>
        <w:spacing w:line="276" w:lineRule="auto"/>
        <w:jc w:val="both"/>
      </w:pPr>
      <w:r w:rsidRPr="002B6A12">
        <w:t>La fragmentation et la perte en surfaces des habitats à Alfa semblent être très anciennes. Cependant, le rythme de diminution de la surface occupée par l’Alfa est plus rapide durant les 36 dernières</w:t>
      </w:r>
      <w:r>
        <w:t xml:space="preserve"> années</w:t>
      </w:r>
      <w:r w:rsidRPr="002B6A12">
        <w:t xml:space="preserve"> sous l’influence d’une grande pression de surpâturage. </w:t>
      </w:r>
    </w:p>
    <w:p w:rsidR="00FF62B0" w:rsidRPr="002B6A12" w:rsidRDefault="00FF62B0" w:rsidP="00FF62B0">
      <w:pPr>
        <w:spacing w:line="276" w:lineRule="auto"/>
        <w:jc w:val="both"/>
        <w:rPr>
          <w:rFonts w:ascii="Times New Roman" w:hAnsi="Times New Roman"/>
          <w:sz w:val="24"/>
          <w:szCs w:val="24"/>
        </w:rPr>
      </w:pPr>
      <w:r w:rsidRPr="002B6A12">
        <w:rPr>
          <w:rFonts w:ascii="Times New Roman" w:hAnsi="Times New Roman"/>
          <w:sz w:val="24"/>
          <w:szCs w:val="24"/>
        </w:rPr>
        <w:t xml:space="preserve">L’historique de la fragmentation des habitats à Alfa permet de mieux comprendre l’installation des habitats à </w:t>
      </w:r>
      <w:proofErr w:type="spellStart"/>
      <w:r>
        <w:rPr>
          <w:rFonts w:ascii="Times New Roman" w:hAnsi="Times New Roman"/>
          <w:i/>
          <w:iCs/>
          <w:sz w:val="24"/>
          <w:szCs w:val="24"/>
        </w:rPr>
        <w:t>Lygeum</w:t>
      </w:r>
      <w:proofErr w:type="spellEnd"/>
      <w:r>
        <w:rPr>
          <w:rFonts w:ascii="Times New Roman" w:hAnsi="Times New Roman"/>
          <w:i/>
          <w:iCs/>
          <w:sz w:val="24"/>
          <w:szCs w:val="24"/>
        </w:rPr>
        <w:t xml:space="preserve"> </w:t>
      </w:r>
      <w:proofErr w:type="spellStart"/>
      <w:r>
        <w:rPr>
          <w:rFonts w:ascii="Times New Roman" w:hAnsi="Times New Roman"/>
          <w:i/>
          <w:iCs/>
          <w:sz w:val="24"/>
          <w:szCs w:val="24"/>
        </w:rPr>
        <w:t>spartum</w:t>
      </w:r>
      <w:proofErr w:type="spellEnd"/>
      <w:r w:rsidRPr="002B6A12">
        <w:rPr>
          <w:rFonts w:ascii="Times New Roman" w:hAnsi="Times New Roman"/>
          <w:sz w:val="24"/>
          <w:szCs w:val="24"/>
        </w:rPr>
        <w:t>.</w:t>
      </w:r>
      <w:r w:rsidRPr="002B6A12">
        <w:rPr>
          <w:rFonts w:ascii="Times New Roman" w:hAnsi="Times New Roman"/>
          <w:i/>
          <w:iCs/>
          <w:sz w:val="24"/>
          <w:szCs w:val="24"/>
        </w:rPr>
        <w:t xml:space="preserve"> </w:t>
      </w:r>
      <w:r w:rsidRPr="002B6A12">
        <w:rPr>
          <w:rFonts w:ascii="Times New Roman" w:hAnsi="Times New Roman"/>
          <w:sz w:val="24"/>
          <w:szCs w:val="24"/>
        </w:rPr>
        <w:t xml:space="preserve">La matrice paysagère actuelle est représentée par les habitats à </w:t>
      </w:r>
      <w:proofErr w:type="spellStart"/>
      <w:r>
        <w:rPr>
          <w:rFonts w:ascii="Times New Roman" w:hAnsi="Times New Roman"/>
          <w:i/>
          <w:iCs/>
          <w:sz w:val="24"/>
          <w:szCs w:val="24"/>
        </w:rPr>
        <w:t>Lygeum</w:t>
      </w:r>
      <w:proofErr w:type="spellEnd"/>
      <w:r>
        <w:rPr>
          <w:rFonts w:ascii="Times New Roman" w:hAnsi="Times New Roman"/>
          <w:i/>
          <w:iCs/>
          <w:sz w:val="24"/>
          <w:szCs w:val="24"/>
        </w:rPr>
        <w:t xml:space="preserve"> </w:t>
      </w:r>
      <w:proofErr w:type="spellStart"/>
      <w:r>
        <w:rPr>
          <w:rFonts w:ascii="Times New Roman" w:hAnsi="Times New Roman"/>
          <w:i/>
          <w:iCs/>
          <w:sz w:val="24"/>
          <w:szCs w:val="24"/>
        </w:rPr>
        <w:t>spartum</w:t>
      </w:r>
      <w:proofErr w:type="spellEnd"/>
      <w:r w:rsidRPr="002B6A12">
        <w:rPr>
          <w:rFonts w:ascii="Times New Roman" w:hAnsi="Times New Roman"/>
          <w:i/>
          <w:iCs/>
          <w:sz w:val="24"/>
          <w:szCs w:val="24"/>
        </w:rPr>
        <w:t xml:space="preserve">. </w:t>
      </w:r>
      <w:r w:rsidRPr="002B6A12">
        <w:rPr>
          <w:rFonts w:ascii="Times New Roman" w:hAnsi="Times New Roman"/>
          <w:sz w:val="24"/>
          <w:szCs w:val="24"/>
        </w:rPr>
        <w:t xml:space="preserve">Cependant, les surfaces occupées par le </w:t>
      </w:r>
      <w:proofErr w:type="spellStart"/>
      <w:r>
        <w:rPr>
          <w:rFonts w:ascii="Times New Roman" w:hAnsi="Times New Roman"/>
          <w:i/>
          <w:iCs/>
          <w:sz w:val="24"/>
          <w:szCs w:val="24"/>
        </w:rPr>
        <w:t>Lygeum</w:t>
      </w:r>
      <w:proofErr w:type="spellEnd"/>
      <w:r>
        <w:rPr>
          <w:rFonts w:ascii="Times New Roman" w:hAnsi="Times New Roman"/>
          <w:i/>
          <w:iCs/>
          <w:sz w:val="24"/>
          <w:szCs w:val="24"/>
        </w:rPr>
        <w:t xml:space="preserve"> </w:t>
      </w:r>
      <w:proofErr w:type="spellStart"/>
      <w:r>
        <w:rPr>
          <w:rFonts w:ascii="Times New Roman" w:hAnsi="Times New Roman"/>
          <w:i/>
          <w:iCs/>
          <w:sz w:val="24"/>
          <w:szCs w:val="24"/>
        </w:rPr>
        <w:t>spartum</w:t>
      </w:r>
      <w:proofErr w:type="spellEnd"/>
      <w:r w:rsidRPr="002B6A12">
        <w:rPr>
          <w:rFonts w:ascii="Times New Roman" w:hAnsi="Times New Roman"/>
          <w:sz w:val="24"/>
          <w:szCs w:val="24"/>
        </w:rPr>
        <w:t xml:space="preserve"> sont très variables. La dynamique du </w:t>
      </w:r>
      <w:proofErr w:type="spellStart"/>
      <w:r>
        <w:rPr>
          <w:rFonts w:ascii="Times New Roman" w:hAnsi="Times New Roman"/>
          <w:i/>
          <w:iCs/>
          <w:sz w:val="24"/>
          <w:szCs w:val="24"/>
        </w:rPr>
        <w:t>Lygeum</w:t>
      </w:r>
      <w:proofErr w:type="spellEnd"/>
      <w:r>
        <w:rPr>
          <w:rFonts w:ascii="Times New Roman" w:hAnsi="Times New Roman"/>
          <w:i/>
          <w:iCs/>
          <w:sz w:val="24"/>
          <w:szCs w:val="24"/>
        </w:rPr>
        <w:t xml:space="preserve"> </w:t>
      </w:r>
      <w:proofErr w:type="spellStart"/>
      <w:r>
        <w:rPr>
          <w:rFonts w:ascii="Times New Roman" w:hAnsi="Times New Roman"/>
          <w:i/>
          <w:iCs/>
          <w:sz w:val="24"/>
          <w:szCs w:val="24"/>
        </w:rPr>
        <w:t>spartum</w:t>
      </w:r>
      <w:proofErr w:type="spellEnd"/>
      <w:r w:rsidRPr="002B6A12">
        <w:rPr>
          <w:rFonts w:ascii="Times New Roman" w:hAnsi="Times New Roman"/>
          <w:i/>
          <w:iCs/>
          <w:sz w:val="24"/>
          <w:szCs w:val="24"/>
        </w:rPr>
        <w:t xml:space="preserve"> </w:t>
      </w:r>
      <w:r w:rsidRPr="002B6A12">
        <w:rPr>
          <w:rFonts w:ascii="Times New Roman" w:hAnsi="Times New Roman"/>
          <w:sz w:val="24"/>
          <w:szCs w:val="24"/>
        </w:rPr>
        <w:t xml:space="preserve">est dirigée par l’intensité de perturbations telles que le surpâturage, l’ensablement et la sècheresse. </w:t>
      </w:r>
    </w:p>
    <w:p w:rsidR="00FF62B0" w:rsidRPr="002B6A12" w:rsidRDefault="00FF62B0" w:rsidP="00FF62B0">
      <w:pPr>
        <w:spacing w:line="276" w:lineRule="auto"/>
        <w:jc w:val="both"/>
        <w:rPr>
          <w:rFonts w:ascii="Times New Roman" w:hAnsi="Times New Roman"/>
          <w:b/>
          <w:bCs/>
          <w:sz w:val="24"/>
          <w:szCs w:val="24"/>
        </w:rPr>
      </w:pPr>
    </w:p>
    <w:p w:rsidR="00FF62B0" w:rsidRDefault="00FF62B0" w:rsidP="00FF62B0">
      <w:pPr>
        <w:spacing w:line="276" w:lineRule="auto"/>
        <w:jc w:val="both"/>
        <w:rPr>
          <w:rFonts w:ascii="Times New Roman" w:hAnsi="Times New Roman"/>
          <w:b/>
          <w:bCs/>
          <w:sz w:val="24"/>
          <w:szCs w:val="24"/>
        </w:rPr>
      </w:pPr>
    </w:p>
    <w:sectPr w:rsidR="00FF62B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62B0"/>
    <w:rsid w:val="008C1318"/>
    <w:rsid w:val="009E4006"/>
    <w:rsid w:val="00D14AF2"/>
    <w:rsid w:val="00FF62B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43855C-C4C3-42B9-8517-BEE82AE45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62B0"/>
    <w:pPr>
      <w:spacing w:after="0" w:line="240" w:lineRule="auto"/>
    </w:pPr>
    <w:rPr>
      <w:rFonts w:ascii="Calibri" w:eastAsia="Calibri" w:hAnsi="Calibri"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FF62B0"/>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330</Words>
  <Characters>1817</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PCLINE</Company>
  <LinksUpToDate>false</LinksUpToDate>
  <CharactersWithSpaces>2143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naima</cp:lastModifiedBy>
  <cp:revision>2</cp:revision>
  <dcterms:created xsi:type="dcterms:W3CDTF">2017-12-17T12:34:00Z</dcterms:created>
  <dcterms:modified xsi:type="dcterms:W3CDTF">2018-04-16T09:04:00Z</dcterms:modified>
</cp:coreProperties>
</file>