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935B9" w:rsidRDefault="00E935B9" w:rsidP="0037721B">
      <w:pPr>
        <w:autoSpaceDE w:val="0"/>
        <w:autoSpaceDN w:val="0"/>
        <w:adjustRightInd w:val="0"/>
        <w:spacing w:line="480" w:lineRule="auto"/>
        <w:jc w:val="both"/>
        <w:rPr>
          <w:rFonts w:asciiTheme="majorBidi" w:hAnsiTheme="majorBidi" w:cstheme="majorBidi"/>
          <w:b/>
          <w:bCs/>
          <w:color w:val="231F20"/>
        </w:rPr>
      </w:pPr>
    </w:p>
    <w:p w:rsidR="00E935B9" w:rsidRDefault="00E935B9" w:rsidP="0037721B">
      <w:pPr>
        <w:autoSpaceDE w:val="0"/>
        <w:autoSpaceDN w:val="0"/>
        <w:adjustRightInd w:val="0"/>
        <w:spacing w:line="480" w:lineRule="auto"/>
        <w:jc w:val="both"/>
        <w:rPr>
          <w:rFonts w:asciiTheme="majorBidi" w:hAnsiTheme="majorBidi" w:cstheme="majorBidi"/>
          <w:b/>
          <w:bCs/>
          <w:color w:val="231F20"/>
        </w:rPr>
      </w:pPr>
    </w:p>
    <w:p w:rsidR="00E935B9" w:rsidRDefault="00E935B9" w:rsidP="0037721B">
      <w:pPr>
        <w:autoSpaceDE w:val="0"/>
        <w:autoSpaceDN w:val="0"/>
        <w:adjustRightInd w:val="0"/>
        <w:spacing w:line="480" w:lineRule="auto"/>
        <w:jc w:val="both"/>
        <w:rPr>
          <w:rFonts w:asciiTheme="majorBidi" w:hAnsiTheme="majorBidi" w:cstheme="majorBidi"/>
          <w:b/>
          <w:bCs/>
          <w:color w:val="231F20"/>
        </w:rPr>
      </w:pPr>
    </w:p>
    <w:p w:rsidR="00E935B9" w:rsidRDefault="00E935B9" w:rsidP="0037721B">
      <w:pPr>
        <w:autoSpaceDE w:val="0"/>
        <w:autoSpaceDN w:val="0"/>
        <w:adjustRightInd w:val="0"/>
        <w:spacing w:line="480" w:lineRule="auto"/>
        <w:jc w:val="both"/>
        <w:rPr>
          <w:rFonts w:asciiTheme="majorBidi" w:hAnsiTheme="majorBidi" w:cstheme="majorBidi"/>
          <w:b/>
          <w:bCs/>
          <w:color w:val="231F20"/>
        </w:rPr>
      </w:pPr>
    </w:p>
    <w:p w:rsidR="00E935B9" w:rsidRDefault="00E935B9" w:rsidP="0037721B">
      <w:pPr>
        <w:autoSpaceDE w:val="0"/>
        <w:autoSpaceDN w:val="0"/>
        <w:adjustRightInd w:val="0"/>
        <w:spacing w:line="480" w:lineRule="auto"/>
        <w:jc w:val="both"/>
        <w:rPr>
          <w:rFonts w:asciiTheme="majorBidi" w:hAnsiTheme="majorBidi" w:cstheme="majorBidi"/>
          <w:b/>
          <w:bCs/>
          <w:color w:val="231F20"/>
        </w:rPr>
      </w:pPr>
    </w:p>
    <w:p w:rsidR="00E935B9" w:rsidRDefault="00E935B9" w:rsidP="0037721B">
      <w:pPr>
        <w:autoSpaceDE w:val="0"/>
        <w:autoSpaceDN w:val="0"/>
        <w:adjustRightInd w:val="0"/>
        <w:spacing w:line="480" w:lineRule="auto"/>
        <w:jc w:val="both"/>
        <w:rPr>
          <w:rFonts w:asciiTheme="majorBidi" w:hAnsiTheme="majorBidi" w:cstheme="majorBidi"/>
          <w:b/>
          <w:bCs/>
          <w:color w:val="231F20"/>
        </w:rPr>
      </w:pPr>
    </w:p>
    <w:p w:rsidR="0037721B" w:rsidRPr="00253AE8" w:rsidRDefault="0037721B" w:rsidP="0037721B">
      <w:pPr>
        <w:autoSpaceDE w:val="0"/>
        <w:autoSpaceDN w:val="0"/>
        <w:adjustRightInd w:val="0"/>
        <w:spacing w:line="480" w:lineRule="auto"/>
        <w:jc w:val="both"/>
        <w:rPr>
          <w:rFonts w:asciiTheme="majorBidi" w:hAnsiTheme="majorBidi" w:cstheme="majorBidi"/>
          <w:b/>
          <w:bCs/>
          <w:color w:val="231F20"/>
        </w:rPr>
      </w:pPr>
      <w:r w:rsidRPr="00253AE8">
        <w:rPr>
          <w:rFonts w:asciiTheme="majorBidi" w:hAnsiTheme="majorBidi" w:cstheme="majorBidi"/>
          <w:b/>
          <w:bCs/>
          <w:color w:val="231F20"/>
        </w:rPr>
        <w:t>Résumé</w:t>
      </w:r>
    </w:p>
    <w:p w:rsidR="0037721B" w:rsidRPr="00253AE8" w:rsidRDefault="0037721B" w:rsidP="0037721B">
      <w:pPr>
        <w:autoSpaceDE w:val="0"/>
        <w:autoSpaceDN w:val="0"/>
        <w:adjustRightInd w:val="0"/>
        <w:spacing w:line="276" w:lineRule="auto"/>
        <w:ind w:firstLine="708"/>
        <w:jc w:val="both"/>
        <w:rPr>
          <w:rFonts w:asciiTheme="majorBidi" w:hAnsiTheme="majorBidi" w:cstheme="majorBidi"/>
          <w:color w:val="231F20"/>
        </w:rPr>
      </w:pPr>
      <w:r w:rsidRPr="00AB2815">
        <w:rPr>
          <w:rFonts w:asciiTheme="majorBidi" w:hAnsiTheme="majorBidi" w:cstheme="majorBidi"/>
          <w:color w:val="231F20"/>
        </w:rPr>
        <w:t xml:space="preserve">Le cancer et les </w:t>
      </w:r>
      <w:r>
        <w:rPr>
          <w:rFonts w:asciiTheme="majorBidi" w:hAnsiTheme="majorBidi" w:cstheme="majorBidi"/>
          <w:color w:val="231F20"/>
        </w:rPr>
        <w:t xml:space="preserve">maladies causées par les </w:t>
      </w:r>
      <w:r w:rsidRPr="00AB2815">
        <w:rPr>
          <w:rFonts w:asciiTheme="majorBidi" w:hAnsiTheme="majorBidi" w:cstheme="majorBidi"/>
          <w:color w:val="231F20"/>
        </w:rPr>
        <w:t>organism</w:t>
      </w:r>
      <w:r>
        <w:rPr>
          <w:rFonts w:asciiTheme="majorBidi" w:hAnsiTheme="majorBidi" w:cstheme="majorBidi"/>
          <w:color w:val="231F20"/>
        </w:rPr>
        <w:t>es résistants aux antibiotiques</w:t>
      </w:r>
      <w:r w:rsidRPr="00AB2815">
        <w:rPr>
          <w:rFonts w:asciiTheme="majorBidi" w:hAnsiTheme="majorBidi" w:cstheme="majorBidi"/>
          <w:color w:val="231F20"/>
        </w:rPr>
        <w:t xml:space="preserve"> représentent une menace sé</w:t>
      </w:r>
      <w:r>
        <w:rPr>
          <w:rFonts w:asciiTheme="majorBidi" w:hAnsiTheme="majorBidi" w:cstheme="majorBidi"/>
          <w:color w:val="231F20"/>
        </w:rPr>
        <w:t>rieuse pour l’existence humaine</w:t>
      </w:r>
      <w:r w:rsidRPr="00754117">
        <w:rPr>
          <w:color w:val="000000"/>
        </w:rPr>
        <w:t xml:space="preserve">. </w:t>
      </w:r>
      <w:proofErr w:type="spellStart"/>
      <w:r>
        <w:rPr>
          <w:color w:val="000000"/>
        </w:rPr>
        <w:t>Pourlutter</w:t>
      </w:r>
      <w:proofErr w:type="spellEnd"/>
      <w:r>
        <w:rPr>
          <w:color w:val="000000"/>
        </w:rPr>
        <w:t xml:space="preserve"> contre ces pathologies, </w:t>
      </w:r>
      <w:r>
        <w:rPr>
          <w:color w:val="231F20"/>
        </w:rPr>
        <w:t>l</w:t>
      </w:r>
      <w:r w:rsidRPr="00754117">
        <w:rPr>
          <w:color w:val="231F20"/>
        </w:rPr>
        <w:t>es produits naturels ont historiquement représenté un</w:t>
      </w:r>
      <w:r>
        <w:rPr>
          <w:color w:val="231F20"/>
        </w:rPr>
        <w:t xml:space="preserve">e source importante de médicaments. </w:t>
      </w:r>
      <w:r>
        <w:rPr>
          <w:rFonts w:asciiTheme="majorBidi" w:hAnsiTheme="majorBidi" w:cstheme="majorBidi"/>
          <w:color w:val="231F20"/>
        </w:rPr>
        <w:t>Dans ce contexte, 150</w:t>
      </w:r>
      <w:r w:rsidRPr="00F54868">
        <w:rPr>
          <w:rFonts w:asciiTheme="majorBidi" w:hAnsiTheme="majorBidi" w:cstheme="majorBidi"/>
          <w:color w:val="231F20"/>
        </w:rPr>
        <w:t xml:space="preserve"> souches </w:t>
      </w:r>
      <w:r>
        <w:rPr>
          <w:rFonts w:asciiTheme="majorBidi" w:hAnsiTheme="majorBidi" w:cstheme="majorBidi"/>
          <w:color w:val="231F20"/>
        </w:rPr>
        <w:t xml:space="preserve">de microbiennes </w:t>
      </w:r>
      <w:r w:rsidRPr="00F54868">
        <w:rPr>
          <w:rFonts w:asciiTheme="majorBidi" w:hAnsiTheme="majorBidi" w:cstheme="majorBidi"/>
          <w:color w:val="231F20"/>
        </w:rPr>
        <w:t xml:space="preserve">ont été isolées à partir d'échantillons de sol prélevés </w:t>
      </w:r>
      <w:r>
        <w:rPr>
          <w:rFonts w:asciiTheme="majorBidi" w:hAnsiTheme="majorBidi" w:cstheme="majorBidi"/>
          <w:color w:val="231F20"/>
        </w:rPr>
        <w:t xml:space="preserve">à partir de 03 Sebkhas du bassin </w:t>
      </w:r>
      <w:proofErr w:type="spellStart"/>
      <w:r>
        <w:rPr>
          <w:rFonts w:asciiTheme="majorBidi" w:hAnsiTheme="majorBidi" w:cstheme="majorBidi"/>
          <w:color w:val="231F20"/>
        </w:rPr>
        <w:t>Touatien</w:t>
      </w:r>
      <w:proofErr w:type="spellEnd"/>
      <w:r>
        <w:rPr>
          <w:rFonts w:asciiTheme="majorBidi" w:hAnsiTheme="majorBidi" w:cstheme="majorBidi"/>
          <w:color w:val="231F20"/>
        </w:rPr>
        <w:t xml:space="preserve"> au </w:t>
      </w:r>
      <w:proofErr w:type="spellStart"/>
      <w:r>
        <w:rPr>
          <w:rFonts w:asciiTheme="majorBidi" w:hAnsiTheme="majorBidi" w:cstheme="majorBidi"/>
          <w:color w:val="231F20"/>
        </w:rPr>
        <w:t>SaharaA</w:t>
      </w:r>
      <w:r w:rsidRPr="00F54868">
        <w:rPr>
          <w:rFonts w:asciiTheme="majorBidi" w:hAnsiTheme="majorBidi" w:cstheme="majorBidi"/>
          <w:color w:val="231F20"/>
        </w:rPr>
        <w:t>lgérien</w:t>
      </w:r>
      <w:proofErr w:type="spellEnd"/>
      <w:r w:rsidRPr="00F54868">
        <w:rPr>
          <w:rFonts w:asciiTheme="majorBidi" w:hAnsiTheme="majorBidi" w:cstheme="majorBidi"/>
          <w:color w:val="231F20"/>
        </w:rPr>
        <w:t xml:space="preserve">. </w:t>
      </w:r>
      <w:r w:rsidRPr="00C24E9B">
        <w:rPr>
          <w:rFonts w:asciiTheme="majorBidi" w:hAnsiTheme="majorBidi" w:cstheme="majorBidi"/>
          <w:color w:val="231F20"/>
        </w:rPr>
        <w:t xml:space="preserve">Ces souches ont subi un criblage basé sur </w:t>
      </w:r>
      <w:r>
        <w:rPr>
          <w:rFonts w:asciiTheme="majorBidi" w:hAnsiTheme="majorBidi" w:cstheme="majorBidi"/>
          <w:color w:val="231F20"/>
        </w:rPr>
        <w:t xml:space="preserve">l’étude des profils métaboliques mesurés par </w:t>
      </w:r>
      <w:r w:rsidRPr="00C24E9B">
        <w:rPr>
          <w:rFonts w:asciiTheme="majorBidi" w:hAnsiTheme="majorBidi" w:cstheme="majorBidi"/>
          <w:color w:val="231F20"/>
        </w:rPr>
        <w:t>la spectroscopie infrarouge à transformée de Fourier en mode de réflexion totale atténuée (ATR/FTIR)</w:t>
      </w:r>
      <w:r>
        <w:rPr>
          <w:rFonts w:asciiTheme="majorBidi" w:hAnsiTheme="majorBidi" w:cstheme="majorBidi"/>
          <w:color w:val="231F20"/>
        </w:rPr>
        <w:t xml:space="preserve"> et des tests d’</w:t>
      </w:r>
      <w:proofErr w:type="spellStart"/>
      <w:r>
        <w:rPr>
          <w:rFonts w:asciiTheme="majorBidi" w:hAnsiTheme="majorBidi" w:cstheme="majorBidi"/>
          <w:color w:val="231F20"/>
        </w:rPr>
        <w:t>antagonismes.</w:t>
      </w:r>
      <w:r w:rsidRPr="00F54868">
        <w:rPr>
          <w:rFonts w:asciiTheme="majorBidi" w:hAnsiTheme="majorBidi" w:cstheme="majorBidi"/>
          <w:color w:val="231F20"/>
        </w:rPr>
        <w:t>Parmi</w:t>
      </w:r>
      <w:proofErr w:type="spellEnd"/>
      <w:r w:rsidRPr="00F54868">
        <w:rPr>
          <w:rFonts w:asciiTheme="majorBidi" w:hAnsiTheme="majorBidi" w:cstheme="majorBidi"/>
          <w:color w:val="231F20"/>
        </w:rPr>
        <w:t xml:space="preserve"> les souches sélectionnées, </w:t>
      </w:r>
      <w:r>
        <w:rPr>
          <w:rFonts w:asciiTheme="majorBidi" w:hAnsiTheme="majorBidi" w:cstheme="majorBidi"/>
          <w:color w:val="231F20"/>
        </w:rPr>
        <w:t>nous avons ciblé l’une d’entre elles, la souche</w:t>
      </w:r>
      <w:r w:rsidRPr="00F54868">
        <w:rPr>
          <w:rFonts w:asciiTheme="majorBidi" w:hAnsiTheme="majorBidi" w:cstheme="majorBidi"/>
          <w:color w:val="231F20"/>
        </w:rPr>
        <w:t xml:space="preserve"> ADR1</w:t>
      </w:r>
      <w:r>
        <w:rPr>
          <w:rFonts w:asciiTheme="majorBidi" w:hAnsiTheme="majorBidi" w:cstheme="majorBidi"/>
          <w:color w:val="231F20"/>
        </w:rPr>
        <w:t xml:space="preserve">. </w:t>
      </w:r>
      <w:proofErr w:type="gramStart"/>
      <w:r>
        <w:rPr>
          <w:rFonts w:asciiTheme="majorBidi" w:hAnsiTheme="majorBidi" w:cstheme="majorBidi"/>
          <w:color w:val="231F20"/>
        </w:rPr>
        <w:t>Cette  souche</w:t>
      </w:r>
      <w:proofErr w:type="gramEnd"/>
      <w:r>
        <w:rPr>
          <w:rFonts w:asciiTheme="majorBidi" w:hAnsiTheme="majorBidi" w:cstheme="majorBidi"/>
          <w:color w:val="231F20"/>
        </w:rPr>
        <w:t xml:space="preserve"> contien</w:t>
      </w:r>
      <w:r w:rsidRPr="00F54868">
        <w:rPr>
          <w:rFonts w:asciiTheme="majorBidi" w:hAnsiTheme="majorBidi" w:cstheme="majorBidi"/>
          <w:color w:val="231F20"/>
        </w:rPr>
        <w:t>t de l'acide LL-</w:t>
      </w:r>
      <w:proofErr w:type="spellStart"/>
      <w:r w:rsidRPr="00F54868">
        <w:rPr>
          <w:rFonts w:asciiTheme="majorBidi" w:hAnsiTheme="majorBidi" w:cstheme="majorBidi"/>
          <w:color w:val="231F20"/>
        </w:rPr>
        <w:t>diaminopimélique</w:t>
      </w:r>
      <w:proofErr w:type="spellEnd"/>
      <w:r w:rsidRPr="00F54868">
        <w:rPr>
          <w:rFonts w:asciiTheme="majorBidi" w:hAnsiTheme="majorBidi" w:cstheme="majorBidi"/>
          <w:color w:val="231F20"/>
        </w:rPr>
        <w:t xml:space="preserve"> dans l'hydrolysat de cellules entières et la séquence </w:t>
      </w:r>
      <w:r>
        <w:rPr>
          <w:rFonts w:asciiTheme="majorBidi" w:hAnsiTheme="majorBidi" w:cstheme="majorBidi"/>
          <w:color w:val="231F20"/>
        </w:rPr>
        <w:t>partielle</w:t>
      </w:r>
      <w:r w:rsidRPr="00F54868">
        <w:rPr>
          <w:rFonts w:asciiTheme="majorBidi" w:hAnsiTheme="majorBidi" w:cstheme="majorBidi"/>
          <w:color w:val="231F20"/>
        </w:rPr>
        <w:t xml:space="preserve"> du gène de l'ARN </w:t>
      </w:r>
      <w:proofErr w:type="spellStart"/>
      <w:r w:rsidRPr="00F54868">
        <w:rPr>
          <w:rFonts w:asciiTheme="majorBidi" w:hAnsiTheme="majorBidi" w:cstheme="majorBidi"/>
          <w:color w:val="231F20"/>
        </w:rPr>
        <w:t>r</w:t>
      </w:r>
      <w:r>
        <w:rPr>
          <w:rFonts w:asciiTheme="majorBidi" w:hAnsiTheme="majorBidi" w:cstheme="majorBidi"/>
          <w:color w:val="231F20"/>
        </w:rPr>
        <w:t>ibosomique</w:t>
      </w:r>
      <w:proofErr w:type="spellEnd"/>
      <w:r>
        <w:rPr>
          <w:rFonts w:asciiTheme="majorBidi" w:hAnsiTheme="majorBidi" w:cstheme="majorBidi"/>
          <w:color w:val="231F20"/>
        </w:rPr>
        <w:t xml:space="preserve"> 16S (1392 </w:t>
      </w:r>
      <w:proofErr w:type="spellStart"/>
      <w:r>
        <w:rPr>
          <w:rFonts w:asciiTheme="majorBidi" w:hAnsiTheme="majorBidi" w:cstheme="majorBidi"/>
          <w:color w:val="231F20"/>
        </w:rPr>
        <w:t>pb</w:t>
      </w:r>
      <w:proofErr w:type="spellEnd"/>
      <w:r>
        <w:rPr>
          <w:rFonts w:asciiTheme="majorBidi" w:hAnsiTheme="majorBidi" w:cstheme="majorBidi"/>
          <w:color w:val="231F20"/>
        </w:rPr>
        <w:t>,</w:t>
      </w:r>
      <w:r w:rsidRPr="00F54868">
        <w:rPr>
          <w:rFonts w:asciiTheme="majorBidi" w:hAnsiTheme="majorBidi" w:cstheme="majorBidi"/>
          <w:color w:val="231F20"/>
        </w:rPr>
        <w:t xml:space="preserve"> numéro d'accèsKF947515) a montré 99% de similarité de séquence </w:t>
      </w:r>
      <w:r>
        <w:rPr>
          <w:rFonts w:asciiTheme="majorBidi" w:hAnsiTheme="majorBidi" w:cstheme="majorBidi"/>
          <w:color w:val="231F20"/>
        </w:rPr>
        <w:t>avec</w:t>
      </w:r>
      <w:r w:rsidRPr="00F54868">
        <w:rPr>
          <w:rFonts w:asciiTheme="majorBidi" w:hAnsiTheme="majorBidi" w:cstheme="majorBidi"/>
          <w:color w:val="231F20"/>
        </w:rPr>
        <w:t xml:space="preserve"> les espèces </w:t>
      </w:r>
      <w:r>
        <w:rPr>
          <w:rFonts w:asciiTheme="majorBidi" w:hAnsiTheme="majorBidi" w:cstheme="majorBidi"/>
          <w:color w:val="231F20"/>
        </w:rPr>
        <w:t xml:space="preserve">de </w:t>
      </w:r>
      <w:proofErr w:type="spellStart"/>
      <w:r w:rsidRPr="00333E5A">
        <w:rPr>
          <w:rFonts w:asciiTheme="majorBidi" w:hAnsiTheme="majorBidi" w:cstheme="majorBidi"/>
          <w:i/>
          <w:iCs/>
          <w:color w:val="231F20"/>
        </w:rPr>
        <w:t>Streptomyces</w:t>
      </w:r>
      <w:proofErr w:type="spellEnd"/>
      <w:r w:rsidRPr="00F54868">
        <w:rPr>
          <w:rFonts w:asciiTheme="majorBidi" w:hAnsiTheme="majorBidi" w:cstheme="majorBidi"/>
          <w:color w:val="231F20"/>
        </w:rPr>
        <w:t xml:space="preserve">. Ensuite, le nom </w:t>
      </w:r>
      <w:proofErr w:type="spellStart"/>
      <w:r w:rsidRPr="0087583B">
        <w:rPr>
          <w:rFonts w:asciiTheme="majorBidi" w:hAnsiTheme="majorBidi" w:cstheme="majorBidi"/>
          <w:i/>
          <w:iCs/>
          <w:color w:val="231F20"/>
        </w:rPr>
        <w:t>Streptomyces</w:t>
      </w:r>
      <w:proofErr w:type="spellEnd"/>
      <w:r w:rsidRPr="00F54868">
        <w:rPr>
          <w:rFonts w:asciiTheme="majorBidi" w:hAnsiTheme="majorBidi" w:cstheme="majorBidi"/>
          <w:color w:val="231F20"/>
        </w:rPr>
        <w:t xml:space="preserve"> </w:t>
      </w:r>
      <w:proofErr w:type="spellStart"/>
      <w:r w:rsidRPr="00F54868">
        <w:rPr>
          <w:rFonts w:asciiTheme="majorBidi" w:hAnsiTheme="majorBidi" w:cstheme="majorBidi"/>
          <w:color w:val="231F20"/>
        </w:rPr>
        <w:t>sp</w:t>
      </w:r>
      <w:proofErr w:type="spellEnd"/>
      <w:r w:rsidRPr="00F54868">
        <w:rPr>
          <w:rFonts w:asciiTheme="majorBidi" w:hAnsiTheme="majorBidi" w:cstheme="majorBidi"/>
          <w:color w:val="231F20"/>
        </w:rPr>
        <w:t xml:space="preserve">. ADR1 </w:t>
      </w:r>
      <w:r>
        <w:rPr>
          <w:rFonts w:asciiTheme="majorBidi" w:hAnsiTheme="majorBidi" w:cstheme="majorBidi"/>
          <w:color w:val="231F20"/>
        </w:rPr>
        <w:t>a été proposé. L</w:t>
      </w:r>
      <w:r w:rsidRPr="001B078A">
        <w:rPr>
          <w:rFonts w:asciiTheme="majorBidi" w:hAnsiTheme="majorBidi" w:cstheme="majorBidi"/>
          <w:color w:val="231F20"/>
        </w:rPr>
        <w:t>'extrait à l'</w:t>
      </w:r>
      <w:r>
        <w:rPr>
          <w:rFonts w:asciiTheme="majorBidi" w:hAnsiTheme="majorBidi" w:cstheme="majorBidi"/>
          <w:color w:val="231F20"/>
        </w:rPr>
        <w:t xml:space="preserve">acétate d'éthyle du bouillon </w:t>
      </w:r>
      <w:r w:rsidRPr="001B078A">
        <w:rPr>
          <w:rFonts w:asciiTheme="majorBidi" w:hAnsiTheme="majorBidi" w:cstheme="majorBidi"/>
          <w:color w:val="231F20"/>
        </w:rPr>
        <w:t xml:space="preserve">fermentation </w:t>
      </w:r>
      <w:r>
        <w:rPr>
          <w:rFonts w:asciiTheme="majorBidi" w:hAnsiTheme="majorBidi" w:cstheme="majorBidi"/>
          <w:color w:val="231F20"/>
        </w:rPr>
        <w:t xml:space="preserve">de la souche ADR1 </w:t>
      </w:r>
      <w:r w:rsidRPr="001B078A">
        <w:rPr>
          <w:rFonts w:asciiTheme="majorBidi" w:hAnsiTheme="majorBidi" w:cstheme="majorBidi"/>
          <w:color w:val="231F20"/>
        </w:rPr>
        <w:t xml:space="preserve">a montré une activité cytotoxique contre la lignée cellulaire PANC-1 (100 µg / </w:t>
      </w:r>
      <w:proofErr w:type="spellStart"/>
      <w:r w:rsidRPr="001B078A">
        <w:rPr>
          <w:rFonts w:asciiTheme="majorBidi" w:hAnsiTheme="majorBidi" w:cstheme="majorBidi"/>
          <w:color w:val="231F20"/>
        </w:rPr>
        <w:t>mL</w:t>
      </w:r>
      <w:proofErr w:type="spellEnd"/>
      <w:r w:rsidRPr="001B078A">
        <w:rPr>
          <w:rFonts w:asciiTheme="majorBidi" w:hAnsiTheme="majorBidi" w:cstheme="majorBidi"/>
          <w:color w:val="231F20"/>
        </w:rPr>
        <w:t>, 37,1% ± 1,3 de la viabilité).</w:t>
      </w:r>
      <w:r>
        <w:rPr>
          <w:rFonts w:asciiTheme="majorBidi" w:hAnsiTheme="majorBidi" w:cstheme="majorBidi"/>
          <w:color w:val="231F20"/>
        </w:rPr>
        <w:t xml:space="preserve"> Le f</w:t>
      </w:r>
      <w:r w:rsidRPr="00F54868">
        <w:rPr>
          <w:rFonts w:asciiTheme="majorBidi" w:hAnsiTheme="majorBidi" w:cstheme="majorBidi"/>
          <w:color w:val="231F20"/>
        </w:rPr>
        <w:t xml:space="preserve">ractionnement et </w:t>
      </w:r>
      <w:r>
        <w:rPr>
          <w:rFonts w:asciiTheme="majorBidi" w:hAnsiTheme="majorBidi" w:cstheme="majorBidi"/>
          <w:color w:val="231F20"/>
        </w:rPr>
        <w:t>l’</w:t>
      </w:r>
      <w:r w:rsidRPr="00F54868">
        <w:rPr>
          <w:rFonts w:asciiTheme="majorBidi" w:hAnsiTheme="majorBidi" w:cstheme="majorBidi"/>
          <w:color w:val="231F20"/>
        </w:rPr>
        <w:t>analyse par RMN de deu</w:t>
      </w:r>
      <w:r>
        <w:rPr>
          <w:rFonts w:asciiTheme="majorBidi" w:hAnsiTheme="majorBidi" w:cstheme="majorBidi"/>
          <w:color w:val="231F20"/>
        </w:rPr>
        <w:t>x pics d'absorption à 490 nm ont révélé qu'ils</w:t>
      </w:r>
      <w:r w:rsidRPr="00F54868">
        <w:rPr>
          <w:rFonts w:asciiTheme="majorBidi" w:hAnsiTheme="majorBidi" w:cstheme="majorBidi"/>
          <w:color w:val="231F20"/>
        </w:rPr>
        <w:t xml:space="preserve"> représentaient</w:t>
      </w:r>
      <w:r>
        <w:rPr>
          <w:rFonts w:asciiTheme="majorBidi" w:hAnsiTheme="majorBidi" w:cstheme="majorBidi"/>
          <w:color w:val="231F20"/>
        </w:rPr>
        <w:t xml:space="preserve"> des antibiotiques </w:t>
      </w:r>
      <w:proofErr w:type="spellStart"/>
      <w:r>
        <w:rPr>
          <w:rFonts w:asciiTheme="majorBidi" w:hAnsiTheme="majorBidi" w:cstheme="majorBidi"/>
          <w:color w:val="231F20"/>
        </w:rPr>
        <w:t>anticancéreux</w:t>
      </w:r>
      <w:proofErr w:type="gramStart"/>
      <w:r>
        <w:rPr>
          <w:rFonts w:asciiTheme="majorBidi" w:hAnsiTheme="majorBidi" w:cstheme="majorBidi"/>
          <w:color w:val="231F20"/>
        </w:rPr>
        <w:t>,β</w:t>
      </w:r>
      <w:proofErr w:type="spellEnd"/>
      <w:proofErr w:type="gramEnd"/>
      <w:r w:rsidRPr="00F54868">
        <w:rPr>
          <w:rFonts w:asciiTheme="majorBidi" w:hAnsiTheme="majorBidi" w:cstheme="majorBidi"/>
          <w:color w:val="231F20"/>
        </w:rPr>
        <w:t xml:space="preserve"> et γ-</w:t>
      </w:r>
      <w:proofErr w:type="spellStart"/>
      <w:r w:rsidRPr="00F54868">
        <w:rPr>
          <w:rFonts w:asciiTheme="majorBidi" w:hAnsiTheme="majorBidi" w:cstheme="majorBidi"/>
          <w:color w:val="231F20"/>
        </w:rPr>
        <w:t>rubromycin</w:t>
      </w:r>
      <w:r>
        <w:rPr>
          <w:rFonts w:asciiTheme="majorBidi" w:hAnsiTheme="majorBidi" w:cstheme="majorBidi"/>
          <w:color w:val="231F20"/>
        </w:rPr>
        <w:t>es</w:t>
      </w:r>
      <w:proofErr w:type="spellEnd"/>
      <w:r>
        <w:rPr>
          <w:rFonts w:asciiTheme="majorBidi" w:hAnsiTheme="majorBidi" w:cstheme="majorBidi"/>
          <w:color w:val="231F20"/>
        </w:rPr>
        <w:t>, qui exercent</w:t>
      </w:r>
      <w:r w:rsidRPr="00015D75">
        <w:rPr>
          <w:rFonts w:asciiTheme="majorBidi" w:hAnsiTheme="majorBidi" w:cstheme="majorBidi"/>
          <w:color w:val="231F20"/>
        </w:rPr>
        <w:t xml:space="preserve"> une activité </w:t>
      </w:r>
      <w:r>
        <w:rPr>
          <w:rFonts w:asciiTheme="majorBidi" w:hAnsiTheme="majorBidi" w:cstheme="majorBidi"/>
          <w:color w:val="231F20"/>
        </w:rPr>
        <w:t xml:space="preserve">anticancéreuse </w:t>
      </w:r>
      <w:proofErr w:type="spellStart"/>
      <w:r>
        <w:rPr>
          <w:rFonts w:asciiTheme="majorBidi" w:hAnsiTheme="majorBidi" w:cstheme="majorBidi"/>
          <w:color w:val="231F20"/>
        </w:rPr>
        <w:t>parl’inhibition</w:t>
      </w:r>
      <w:proofErr w:type="spellEnd"/>
      <w:r>
        <w:rPr>
          <w:rFonts w:asciiTheme="majorBidi" w:hAnsiTheme="majorBidi" w:cstheme="majorBidi"/>
          <w:color w:val="231F20"/>
        </w:rPr>
        <w:t xml:space="preserve"> de</w:t>
      </w:r>
      <w:r w:rsidRPr="00015D75">
        <w:rPr>
          <w:rFonts w:asciiTheme="majorBidi" w:hAnsiTheme="majorBidi" w:cstheme="majorBidi"/>
          <w:color w:val="231F20"/>
        </w:rPr>
        <w:t xml:space="preserve"> la </w:t>
      </w:r>
      <w:proofErr w:type="spellStart"/>
      <w:r w:rsidRPr="00015D75">
        <w:rPr>
          <w:rFonts w:asciiTheme="majorBidi" w:hAnsiTheme="majorBidi" w:cstheme="majorBidi"/>
          <w:color w:val="231F20"/>
        </w:rPr>
        <w:t>télomérase</w:t>
      </w:r>
      <w:proofErr w:type="spellEnd"/>
      <w:r w:rsidRPr="00015D75">
        <w:rPr>
          <w:rFonts w:asciiTheme="majorBidi" w:hAnsiTheme="majorBidi" w:cstheme="majorBidi"/>
          <w:color w:val="231F20"/>
        </w:rPr>
        <w:t xml:space="preserve"> hu</w:t>
      </w:r>
      <w:r>
        <w:rPr>
          <w:rFonts w:asciiTheme="majorBidi" w:hAnsiTheme="majorBidi" w:cstheme="majorBidi"/>
          <w:color w:val="231F20"/>
        </w:rPr>
        <w:t>maine. L</w:t>
      </w:r>
      <w:r w:rsidRPr="00F54868">
        <w:rPr>
          <w:rFonts w:asciiTheme="majorBidi" w:hAnsiTheme="majorBidi" w:cstheme="majorBidi"/>
          <w:color w:val="231F20"/>
        </w:rPr>
        <w:t xml:space="preserve">e transfert du processus </w:t>
      </w:r>
      <w:r>
        <w:rPr>
          <w:rFonts w:asciiTheme="majorBidi" w:hAnsiTheme="majorBidi" w:cstheme="majorBidi"/>
          <w:color w:val="231F20"/>
        </w:rPr>
        <w:t>de fermentation de fioles agitées au</w:t>
      </w:r>
      <w:r w:rsidRPr="00F54868">
        <w:rPr>
          <w:rFonts w:asciiTheme="majorBidi" w:hAnsiTheme="majorBidi" w:cstheme="majorBidi"/>
          <w:color w:val="231F20"/>
        </w:rPr>
        <w:t xml:space="preserve"> bioréacteur </w:t>
      </w:r>
      <w:r>
        <w:rPr>
          <w:rFonts w:asciiTheme="majorBidi" w:hAnsiTheme="majorBidi" w:cstheme="majorBidi"/>
          <w:color w:val="231F20"/>
        </w:rPr>
        <w:t xml:space="preserve">16 L, </w:t>
      </w:r>
      <w:r w:rsidRPr="00F54868">
        <w:rPr>
          <w:rFonts w:asciiTheme="majorBidi" w:hAnsiTheme="majorBidi" w:cstheme="majorBidi"/>
          <w:color w:val="231F20"/>
        </w:rPr>
        <w:t>a augmenté la productio</w:t>
      </w:r>
      <w:r>
        <w:rPr>
          <w:rFonts w:asciiTheme="majorBidi" w:hAnsiTheme="majorBidi" w:cstheme="majorBidi"/>
          <w:color w:val="231F20"/>
        </w:rPr>
        <w:t>n volumétrique jusqu'à 27,41 mg</w:t>
      </w:r>
      <w:r w:rsidRPr="00F54868">
        <w:rPr>
          <w:rFonts w:asciiTheme="majorBidi" w:hAnsiTheme="majorBidi" w:cstheme="majorBidi"/>
          <w:color w:val="231F20"/>
        </w:rPr>
        <w:t>/L</w:t>
      </w:r>
      <w:r>
        <w:rPr>
          <w:rFonts w:asciiTheme="majorBidi" w:hAnsiTheme="majorBidi" w:cstheme="majorBidi"/>
          <w:color w:val="231F20"/>
        </w:rPr>
        <w:t>, et 580,35 mg/</w:t>
      </w:r>
      <w:r w:rsidRPr="00F54868">
        <w:rPr>
          <w:rFonts w:asciiTheme="majorBidi" w:hAnsiTheme="majorBidi" w:cstheme="majorBidi"/>
          <w:color w:val="231F20"/>
        </w:rPr>
        <w:t xml:space="preserve">L pour </w:t>
      </w:r>
      <w:r>
        <w:rPr>
          <w:rFonts w:asciiTheme="majorBidi" w:hAnsiTheme="majorBidi" w:cstheme="majorBidi"/>
          <w:color w:val="231F20"/>
        </w:rPr>
        <w:t>la β- et γ</w:t>
      </w:r>
      <w:r w:rsidRPr="00F54868">
        <w:rPr>
          <w:rFonts w:asciiTheme="majorBidi" w:hAnsiTheme="majorBidi" w:cstheme="majorBidi"/>
          <w:color w:val="231F20"/>
        </w:rPr>
        <w:t>-</w:t>
      </w:r>
      <w:proofErr w:type="spellStart"/>
      <w:r w:rsidRPr="00F54868">
        <w:rPr>
          <w:rFonts w:asciiTheme="majorBidi" w:hAnsiTheme="majorBidi" w:cstheme="majorBidi"/>
          <w:color w:val="231F20"/>
        </w:rPr>
        <w:t>rubromycin</w:t>
      </w:r>
      <w:r>
        <w:rPr>
          <w:rFonts w:asciiTheme="majorBidi" w:hAnsiTheme="majorBidi" w:cstheme="majorBidi"/>
          <w:color w:val="231F20"/>
        </w:rPr>
        <w:t>e</w:t>
      </w:r>
      <w:r w:rsidRPr="00F54868">
        <w:rPr>
          <w:rFonts w:asciiTheme="majorBidi" w:hAnsiTheme="majorBidi" w:cstheme="majorBidi"/>
          <w:color w:val="231F20"/>
        </w:rPr>
        <w:t>s</w:t>
      </w:r>
      <w:proofErr w:type="spellEnd"/>
      <w:r>
        <w:rPr>
          <w:rFonts w:asciiTheme="majorBidi" w:hAnsiTheme="majorBidi" w:cstheme="majorBidi"/>
          <w:color w:val="231F20"/>
        </w:rPr>
        <w:t>, respectivement. Par conséquences</w:t>
      </w:r>
      <w:r w:rsidRPr="00F54868">
        <w:rPr>
          <w:rFonts w:asciiTheme="majorBidi" w:hAnsiTheme="majorBidi" w:cstheme="majorBidi"/>
          <w:color w:val="231F20"/>
        </w:rPr>
        <w:t xml:space="preserve">, la souche </w:t>
      </w:r>
      <w:proofErr w:type="spellStart"/>
      <w:r w:rsidRPr="0087583B">
        <w:rPr>
          <w:rFonts w:asciiTheme="majorBidi" w:hAnsiTheme="majorBidi" w:cstheme="majorBidi"/>
          <w:i/>
          <w:iCs/>
          <w:color w:val="231F20"/>
        </w:rPr>
        <w:t>Streptomyces</w:t>
      </w:r>
      <w:proofErr w:type="spellEnd"/>
      <w:r w:rsidRPr="00F54868">
        <w:rPr>
          <w:rFonts w:asciiTheme="majorBidi" w:hAnsiTheme="majorBidi" w:cstheme="majorBidi"/>
          <w:color w:val="231F20"/>
        </w:rPr>
        <w:t xml:space="preserve"> </w:t>
      </w:r>
      <w:proofErr w:type="spellStart"/>
      <w:r w:rsidRPr="00F54868">
        <w:rPr>
          <w:rFonts w:asciiTheme="majorBidi" w:hAnsiTheme="majorBidi" w:cstheme="majorBidi"/>
          <w:color w:val="231F20"/>
        </w:rPr>
        <w:t>sp</w:t>
      </w:r>
      <w:proofErr w:type="spellEnd"/>
      <w:r w:rsidRPr="00F54868">
        <w:rPr>
          <w:rFonts w:asciiTheme="majorBidi" w:hAnsiTheme="majorBidi" w:cstheme="majorBidi"/>
          <w:color w:val="231F20"/>
        </w:rPr>
        <w:t>. ADR 1 est proposé</w:t>
      </w:r>
      <w:r>
        <w:rPr>
          <w:rFonts w:asciiTheme="majorBidi" w:hAnsiTheme="majorBidi" w:cstheme="majorBidi"/>
          <w:color w:val="231F20"/>
        </w:rPr>
        <w:t xml:space="preserve">e en tant qu’usine cellulaire </w:t>
      </w:r>
      <w:r w:rsidRPr="00F54868">
        <w:rPr>
          <w:rFonts w:asciiTheme="majorBidi" w:hAnsiTheme="majorBidi" w:cstheme="majorBidi"/>
          <w:color w:val="231F20"/>
        </w:rPr>
        <w:t xml:space="preserve">pour la production de </w:t>
      </w:r>
      <w:r>
        <w:rPr>
          <w:rFonts w:asciiTheme="majorBidi" w:hAnsiTheme="majorBidi" w:cstheme="majorBidi"/>
          <w:color w:val="231F20"/>
        </w:rPr>
        <w:t>la β- et γ</w:t>
      </w:r>
      <w:r w:rsidRPr="00F54868">
        <w:rPr>
          <w:rFonts w:asciiTheme="majorBidi" w:hAnsiTheme="majorBidi" w:cstheme="majorBidi"/>
          <w:color w:val="231F20"/>
        </w:rPr>
        <w:t>-</w:t>
      </w:r>
      <w:proofErr w:type="spellStart"/>
      <w:r w:rsidRPr="00F54868">
        <w:rPr>
          <w:rFonts w:asciiTheme="majorBidi" w:hAnsiTheme="majorBidi" w:cstheme="majorBidi"/>
          <w:color w:val="231F20"/>
        </w:rPr>
        <w:t>rubromycin</w:t>
      </w:r>
      <w:r>
        <w:rPr>
          <w:rFonts w:asciiTheme="majorBidi" w:hAnsiTheme="majorBidi" w:cstheme="majorBidi"/>
          <w:color w:val="231F20"/>
        </w:rPr>
        <w:t>e</w:t>
      </w:r>
      <w:r w:rsidRPr="00F54868">
        <w:rPr>
          <w:rFonts w:asciiTheme="majorBidi" w:hAnsiTheme="majorBidi" w:cstheme="majorBidi"/>
          <w:color w:val="231F20"/>
        </w:rPr>
        <w:t>s</w:t>
      </w:r>
      <w:proofErr w:type="spellEnd"/>
      <w:r w:rsidRPr="00F54868">
        <w:rPr>
          <w:rFonts w:asciiTheme="majorBidi" w:hAnsiTheme="majorBidi" w:cstheme="majorBidi"/>
          <w:color w:val="231F20"/>
        </w:rPr>
        <w:t>.</w:t>
      </w:r>
    </w:p>
    <w:p w:rsidR="0037721B" w:rsidRDefault="0037721B" w:rsidP="0037721B">
      <w:pPr>
        <w:autoSpaceDE w:val="0"/>
        <w:autoSpaceDN w:val="0"/>
        <w:adjustRightInd w:val="0"/>
        <w:spacing w:line="276" w:lineRule="auto"/>
        <w:jc w:val="both"/>
        <w:rPr>
          <w:b/>
          <w:bCs/>
          <w:color w:val="231F20"/>
        </w:rPr>
      </w:pPr>
    </w:p>
    <w:p w:rsidR="001C0031" w:rsidRDefault="001C0031">
      <w:bookmarkStart w:id="0" w:name="_GoBack"/>
      <w:bookmarkEnd w:id="0"/>
    </w:p>
    <w:sectPr w:rsidR="001C0031" w:rsidSect="0056603B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20"/>
  <w:hyphenationZone w:val="425"/>
  <w:characterSpacingControl w:val="doNotCompress"/>
  <w:compat/>
  <w:rsids>
    <w:rsidRoot w:val="00D05ADA"/>
    <w:rsid w:val="001C0031"/>
    <w:rsid w:val="00212D06"/>
    <w:rsid w:val="0037721B"/>
    <w:rsid w:val="003F0569"/>
    <w:rsid w:val="00492880"/>
    <w:rsid w:val="0056603B"/>
    <w:rsid w:val="008373D9"/>
    <w:rsid w:val="009E06E2"/>
    <w:rsid w:val="00D05ADA"/>
    <w:rsid w:val="00E935B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7721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fr-FR" w:eastAsia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272</Words>
  <Characters>1555</Characters>
  <Application>Microsoft Office Word</Application>
  <DocSecurity>0</DocSecurity>
  <Lines>12</Lines>
  <Paragraphs>3</Paragraphs>
  <ScaleCrop>false</ScaleCrop>
  <Company/>
  <LinksUpToDate>false</LinksUpToDate>
  <CharactersWithSpaces>1824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 h</dc:creator>
  <cp:keywords/>
  <dc:description/>
  <cp:lastModifiedBy>traitement</cp:lastModifiedBy>
  <cp:revision>5</cp:revision>
  <dcterms:created xsi:type="dcterms:W3CDTF">2016-12-17T08:27:00Z</dcterms:created>
  <dcterms:modified xsi:type="dcterms:W3CDTF">2017-05-17T12:05:00Z</dcterms:modified>
</cp:coreProperties>
</file>