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A5EBB" w:rsidRPr="001A5EBB" w:rsidRDefault="001A5EBB" w:rsidP="001A5EBB">
      <w:pPr>
        <w:rPr>
          <w:sz w:val="24"/>
        </w:rPr>
      </w:pPr>
      <w:r w:rsidRPr="001A5EBB">
        <w:rPr>
          <w:sz w:val="24"/>
        </w:rPr>
        <w:t xml:space="preserve">L'hydrogène est l'un des vecteurs énergétiques les plus prometteurs du futur. En effet, il est très énergétique, très abondant, propre et versatile. Mais, en conséquence de certaines difficultés inhérentes à ses propriétés physiques et chimiques, l'hydrogène n'est toujours pas utilisé d'une façon domestique pour produire de l'énergie. La plus importante de ces difficultés est son stockage. Le département de l'énergie des Etats Unis a fixé, pour l'horizon 2010, les différents critères qu'un matériau doit vérifier pour qu'il soit commercialisable : une capacité massique ? 6%, une densité volumique d'au moins de 0.045kg/l, avoir une bonne cinétique et une durée de vie assurant au moins 1000 cycles. </w:t>
      </w:r>
    </w:p>
    <w:p w:rsidR="0029469C" w:rsidRPr="0029469C" w:rsidRDefault="001A5EBB" w:rsidP="0029469C">
      <w:pPr>
        <w:rPr>
          <w:sz w:val="24"/>
        </w:rPr>
      </w:pPr>
      <w:r w:rsidRPr="001A5EBB">
        <w:rPr>
          <w:sz w:val="24"/>
        </w:rPr>
        <w:t>La recherche, le design, la modélisation et la synthèse de matériaux adéquats pour un stockage simple, sûr et efficace de l'hydrogène est un des grands challenges des chercheurs d'aujourd'hui. Une panoplie de modes et de moyens de stockage ont été proposés. Aussi, on distingue trois types de stockages : liquide dans des réservoirs cryogéniques à 20</w:t>
      </w:r>
      <w:r w:rsidR="0029469C" w:rsidRPr="0029469C">
        <w:rPr>
          <w:sz w:val="24"/>
        </w:rPr>
        <w:t xml:space="preserve">Le problème de la corrosion touche actuellement tous les domaines de l'activité industrielle et provoque de sérieux dégâts sur les plans économiques et écologiques. Les domaines de l'industrie navale et de transport maritimes sont les plus atteints par ce problème. Les dégâts occasionnés sont préjudiciables à la production (pertes d'équipement, coûts de réparation,  indisponibilités de remise en état répétées),  et aux conditions de sécurité des personnels et des équipages des navires.  </w:t>
      </w:r>
    </w:p>
    <w:p w:rsidR="0029469C" w:rsidRPr="0029469C" w:rsidRDefault="0029469C" w:rsidP="0029469C">
      <w:pPr>
        <w:rPr>
          <w:sz w:val="24"/>
        </w:rPr>
      </w:pPr>
      <w:r w:rsidRPr="0029469C">
        <w:rPr>
          <w:sz w:val="24"/>
        </w:rPr>
        <w:t xml:space="preserve">Certes, l'industrie de construction navale dispose d'une panoplie de techniques de protection anticorrosion bien ciblées, néanmoins les dommages occasionnés sont toujours considérables et toute nouvelle solution doit être accueillie avec intérêt. Les revêtements organiques et en particulier les peintures marines occupent  une place de choix  dans cette lutte en raison de leur simplicité d'application, flexibilité, dureté, adhésion, résistance chimique et leur durabilité.  </w:t>
      </w:r>
    </w:p>
    <w:p w:rsidR="0029469C" w:rsidRPr="0029469C" w:rsidRDefault="0029469C" w:rsidP="0029469C">
      <w:pPr>
        <w:rPr>
          <w:sz w:val="24"/>
        </w:rPr>
      </w:pPr>
      <w:r w:rsidRPr="0029469C">
        <w:rPr>
          <w:sz w:val="24"/>
        </w:rPr>
        <w:t xml:space="preserve"> </w:t>
      </w:r>
      <w:proofErr w:type="gramStart"/>
      <w:r w:rsidRPr="0029469C">
        <w:rPr>
          <w:sz w:val="24"/>
        </w:rPr>
        <w:t>l'heure</w:t>
      </w:r>
      <w:proofErr w:type="gramEnd"/>
      <w:r w:rsidRPr="0029469C">
        <w:rPr>
          <w:sz w:val="24"/>
        </w:rPr>
        <w:t xml:space="preserve"> actuelle, de nombreuses peintures  marines anticorrosion efficaces et éprouvées sont disponibles. Elles se distinguent entre elle par leur mode d'action et la nature du liant de base  (époxydique, alkyde, acrylique, caoutchouc chloré, caoutchouc cyclisé, polyester,…). Durant, les deux dernières décennies, une prise de conscience pour la préservation de l'environnement marin a conduit à une remise en question de certaines formulations  voir à leur abandon, en particulier celles incluant les métaux lourds et les chromates. Ainsi, des efforts sont toujours fournis et orientés vers la recherche de nouveaux produits de substitutions efficaces, moins onéreux et respectueux de l'environnement. </w:t>
      </w:r>
    </w:p>
    <w:p w:rsidR="0029469C" w:rsidRPr="0029469C" w:rsidRDefault="0029469C" w:rsidP="0029469C">
      <w:pPr>
        <w:rPr>
          <w:sz w:val="24"/>
        </w:rPr>
      </w:pPr>
      <w:r w:rsidRPr="0029469C">
        <w:rPr>
          <w:sz w:val="24"/>
        </w:rPr>
        <w:t xml:space="preserve">La formulation des peintures anticorrosion à base de  polymères conducteurs est l'une des  solutions de remplacement les plus étudiées ces dernières années. La </w:t>
      </w:r>
      <w:proofErr w:type="spellStart"/>
      <w:r w:rsidRPr="0029469C">
        <w:rPr>
          <w:sz w:val="24"/>
        </w:rPr>
        <w:t>polyaniline</w:t>
      </w:r>
      <w:proofErr w:type="spellEnd"/>
      <w:r w:rsidRPr="0029469C">
        <w:rPr>
          <w:sz w:val="24"/>
        </w:rPr>
        <w:t xml:space="preserve"> occupe une place de choix dans cette démarche, en raison de sa synthèse facile, sa stabilité thermique et chimique et son faible coût de </w:t>
      </w:r>
      <w:proofErr w:type="gramStart"/>
      <w:r w:rsidRPr="0029469C">
        <w:rPr>
          <w:sz w:val="24"/>
        </w:rPr>
        <w:t>production .</w:t>
      </w:r>
      <w:proofErr w:type="gramEnd"/>
      <w:r w:rsidRPr="0029469C">
        <w:rPr>
          <w:sz w:val="24"/>
        </w:rPr>
        <w:t xml:space="preserve">  </w:t>
      </w:r>
    </w:p>
    <w:p w:rsidR="001A5EBB" w:rsidRPr="001A5EBB" w:rsidRDefault="0029469C" w:rsidP="0029469C">
      <w:pPr>
        <w:rPr>
          <w:sz w:val="24"/>
        </w:rPr>
      </w:pPr>
      <w:r w:rsidRPr="0029469C">
        <w:rPr>
          <w:sz w:val="24"/>
        </w:rPr>
        <w:t xml:space="preserve">L'objectif de ce travail vise la formulation de nouvelles peintures anticorrosion à base de polymères conducteurs, en l'occurrence la </w:t>
      </w:r>
      <w:proofErr w:type="spellStart"/>
      <w:r w:rsidRPr="0029469C">
        <w:rPr>
          <w:sz w:val="24"/>
        </w:rPr>
        <w:t>polyaniline</w:t>
      </w:r>
      <w:proofErr w:type="spellEnd"/>
      <w:r w:rsidRPr="0029469C">
        <w:rPr>
          <w:sz w:val="24"/>
        </w:rPr>
        <w:t xml:space="preserve">, efficaces et respectueuse de l'environnement. Le caoutchouc chloré et le polyvinyle </w:t>
      </w:r>
      <w:proofErr w:type="spellStart"/>
      <w:r w:rsidRPr="0029469C">
        <w:rPr>
          <w:sz w:val="24"/>
        </w:rPr>
        <w:t>butyrale</w:t>
      </w:r>
      <w:proofErr w:type="spellEnd"/>
      <w:r w:rsidRPr="0029469C">
        <w:rPr>
          <w:sz w:val="24"/>
        </w:rPr>
        <w:t xml:space="preserve"> ont été choisis comme matrices de base. Les résultats des tests de vieillissement accéléré "  brouillard salin ", des tests d'immersion en milieu salin, des caractérisations électrochimiques par SIE et des mesures </w:t>
      </w:r>
      <w:proofErr w:type="spellStart"/>
      <w:r w:rsidRPr="0029469C">
        <w:rPr>
          <w:sz w:val="24"/>
        </w:rPr>
        <w:t>potentio</w:t>
      </w:r>
      <w:proofErr w:type="spellEnd"/>
      <w:r w:rsidRPr="0029469C">
        <w:rPr>
          <w:sz w:val="24"/>
        </w:rPr>
        <w:t xml:space="preserve">-dynamiques montrent le potentiel des peintures pigmentées avec la </w:t>
      </w:r>
      <w:proofErr w:type="spellStart"/>
      <w:r w:rsidRPr="0029469C">
        <w:rPr>
          <w:sz w:val="24"/>
        </w:rPr>
        <w:t>polyaniline</w:t>
      </w:r>
      <w:proofErr w:type="spellEnd"/>
      <w:r w:rsidRPr="0029469C">
        <w:rPr>
          <w:sz w:val="24"/>
        </w:rPr>
        <w:t xml:space="preserve"> pour des applications anticorrosion dans le domaine marin. En particulier, la matrice caoutchouc chloré CR-H2 contenant 1.5 % </w:t>
      </w:r>
      <w:proofErr w:type="spellStart"/>
      <w:r w:rsidRPr="0029469C">
        <w:rPr>
          <w:sz w:val="24"/>
        </w:rPr>
        <w:t>Pani</w:t>
      </w:r>
      <w:proofErr w:type="spellEnd"/>
      <w:r w:rsidRPr="0029469C">
        <w:rPr>
          <w:sz w:val="24"/>
        </w:rPr>
        <w:t>-</w:t>
      </w:r>
      <w:proofErr w:type="spellStart"/>
      <w:r w:rsidRPr="0029469C">
        <w:rPr>
          <w:sz w:val="24"/>
        </w:rPr>
        <w:t>HCl</w:t>
      </w:r>
      <w:proofErr w:type="spellEnd"/>
      <w:r w:rsidRPr="0029469C">
        <w:rPr>
          <w:sz w:val="24"/>
        </w:rPr>
        <w:t xml:space="preserve"> qui s'est </w:t>
      </w:r>
      <w:proofErr w:type="gramStart"/>
      <w:r w:rsidRPr="0029469C">
        <w:rPr>
          <w:sz w:val="24"/>
        </w:rPr>
        <w:t>révélée</w:t>
      </w:r>
      <w:proofErr w:type="gramEnd"/>
      <w:r w:rsidRPr="0029469C">
        <w:rPr>
          <w:sz w:val="24"/>
        </w:rPr>
        <w:t xml:space="preserve"> la plus efficace de l'ensemble des systèmes étudiés. </w:t>
      </w:r>
      <w:r w:rsidR="001A5EBB" w:rsidRPr="001A5EBB">
        <w:rPr>
          <w:sz w:val="24"/>
        </w:rPr>
        <w:t>K, gazeux sous pression dans des réservoirs spéciaux et sous forme adsorbé et/ou absorbé dans des solides métalliques, organiques ou organométalliques.</w:t>
      </w:r>
    </w:p>
    <w:p w:rsidR="001A5EBB" w:rsidRPr="001A5EBB" w:rsidRDefault="001A5EBB" w:rsidP="001A5EBB">
      <w:pPr>
        <w:rPr>
          <w:sz w:val="24"/>
        </w:rPr>
      </w:pPr>
      <w:r w:rsidRPr="001A5EBB">
        <w:rPr>
          <w:sz w:val="24"/>
        </w:rPr>
        <w:lastRenderedPageBreak/>
        <w:tab/>
        <w:t xml:space="preserve">Dans ce mémoire, nous nous proposons d'étudier à l'aide des méthodes de chimie computationnelle le stockage de l'hydrogène dans des cages moléculaires : les </w:t>
      </w:r>
      <w:proofErr w:type="spellStart"/>
      <w:r w:rsidRPr="001A5EBB">
        <w:rPr>
          <w:sz w:val="24"/>
        </w:rPr>
        <w:t>sphérophanes</w:t>
      </w:r>
      <w:proofErr w:type="spellEnd"/>
      <w:r w:rsidRPr="001A5EBB">
        <w:rPr>
          <w:sz w:val="24"/>
        </w:rPr>
        <w:t>. La synthèse de ces containers moléculaires est en cours dans un laboratoire de chimie organique en France.</w:t>
      </w:r>
    </w:p>
    <w:p w:rsidR="001A5EBB" w:rsidRPr="001A5EBB" w:rsidRDefault="001A5EBB" w:rsidP="001A5EBB">
      <w:pPr>
        <w:rPr>
          <w:sz w:val="24"/>
        </w:rPr>
      </w:pPr>
      <w:r w:rsidRPr="001A5EBB">
        <w:rPr>
          <w:sz w:val="24"/>
        </w:rPr>
        <w:tab/>
        <w:t xml:space="preserve">L'optimisation des structures géométriques et électroniques de ces </w:t>
      </w:r>
      <w:proofErr w:type="spellStart"/>
      <w:r w:rsidRPr="001A5EBB">
        <w:rPr>
          <w:sz w:val="24"/>
        </w:rPr>
        <w:t>sphérophanes</w:t>
      </w:r>
      <w:proofErr w:type="spellEnd"/>
      <w:r w:rsidRPr="001A5EBB">
        <w:rPr>
          <w:sz w:val="24"/>
        </w:rPr>
        <w:t xml:space="preserve"> a été réalisée au niveau B3LYP et différentes bases 6-31G, 6-31G(d) et 6-31++</w:t>
      </w:r>
      <w:proofErr w:type="gramStart"/>
      <w:r w:rsidRPr="001A5EBB">
        <w:rPr>
          <w:sz w:val="24"/>
        </w:rPr>
        <w:t>G(</w:t>
      </w:r>
      <w:proofErr w:type="spellStart"/>
      <w:proofErr w:type="gramEnd"/>
      <w:r w:rsidRPr="001A5EBB">
        <w:rPr>
          <w:sz w:val="24"/>
        </w:rPr>
        <w:t>d,p</w:t>
      </w:r>
      <w:proofErr w:type="spellEnd"/>
      <w:r w:rsidRPr="001A5EBB">
        <w:rPr>
          <w:sz w:val="24"/>
        </w:rPr>
        <w:t xml:space="preserve">). Un ensemble de réactions </w:t>
      </w:r>
      <w:proofErr w:type="spellStart"/>
      <w:r w:rsidRPr="001A5EBB">
        <w:rPr>
          <w:sz w:val="24"/>
        </w:rPr>
        <w:t>homodesmiques</w:t>
      </w:r>
      <w:proofErr w:type="spellEnd"/>
      <w:r w:rsidRPr="001A5EBB">
        <w:rPr>
          <w:sz w:val="24"/>
        </w:rPr>
        <w:t xml:space="preserve"> et </w:t>
      </w:r>
      <w:proofErr w:type="spellStart"/>
      <w:r w:rsidRPr="001A5EBB">
        <w:rPr>
          <w:sz w:val="24"/>
        </w:rPr>
        <w:t>isodesmiques</w:t>
      </w:r>
      <w:proofErr w:type="spellEnd"/>
      <w:r w:rsidRPr="001A5EBB">
        <w:rPr>
          <w:sz w:val="24"/>
        </w:rPr>
        <w:t xml:space="preserve"> rigoureusement choisies nous a permis de déterminer leurs enthalpies de formation et d'étudier leur stabilité relative. Nous avons investi, par la suite, la possibilité d'insérer une molécule d'hydrogène dans les cavités de ces </w:t>
      </w:r>
      <w:proofErr w:type="spellStart"/>
      <w:r w:rsidRPr="001A5EBB">
        <w:rPr>
          <w:sz w:val="24"/>
        </w:rPr>
        <w:t>sphérophanes</w:t>
      </w:r>
      <w:proofErr w:type="spellEnd"/>
      <w:r w:rsidRPr="001A5EBB">
        <w:rPr>
          <w:sz w:val="24"/>
        </w:rPr>
        <w:t xml:space="preserve">. Ce qui nous a permis de déterminer l'approche qu'une molécule d'hydrogène emprunterait pour entrer ou sortir de l'intérieure des </w:t>
      </w:r>
      <w:proofErr w:type="spellStart"/>
      <w:r w:rsidRPr="001A5EBB">
        <w:rPr>
          <w:sz w:val="24"/>
        </w:rPr>
        <w:t>sphérophanes</w:t>
      </w:r>
      <w:proofErr w:type="spellEnd"/>
      <w:r w:rsidRPr="001A5EBB">
        <w:rPr>
          <w:sz w:val="24"/>
        </w:rPr>
        <w:t xml:space="preserve">. Les barrières d'énergie d'insertion et de sortie d'une molécule de H2 des quatre </w:t>
      </w:r>
      <w:proofErr w:type="spellStart"/>
      <w:r w:rsidRPr="001A5EBB">
        <w:rPr>
          <w:sz w:val="24"/>
        </w:rPr>
        <w:t>sphérophanes</w:t>
      </w:r>
      <w:proofErr w:type="spellEnd"/>
      <w:r w:rsidRPr="001A5EBB">
        <w:rPr>
          <w:sz w:val="24"/>
        </w:rPr>
        <w:t xml:space="preserve"> ont été évaluées au niveau M05-2X/6-31G(d) et comparées à celles, expérimentales et théoriques, des fullerènes C60 et C70 ouverts. La troisième partie de ce travail a été consacrée à l'étude de l'insertion de plusieurs molécules d'hydrogène dans les containers moléculaires considérés. Les résultats montrent que deux principaux facteurs commandent le taux de stockage de ces </w:t>
      </w:r>
      <w:proofErr w:type="spellStart"/>
      <w:r w:rsidRPr="001A5EBB">
        <w:rPr>
          <w:sz w:val="24"/>
        </w:rPr>
        <w:t>sphérophanes</w:t>
      </w:r>
      <w:proofErr w:type="spellEnd"/>
      <w:r w:rsidRPr="001A5EBB">
        <w:rPr>
          <w:sz w:val="24"/>
        </w:rPr>
        <w:t xml:space="preserve"> : l'un géométrique (la forme et la taille de la cavité) et l'autre énergétique (les barrières énergétiques qui se trouve à la surface des cavités). Les molécules de H2 bloquées à l'intérieur des </w:t>
      </w:r>
      <w:proofErr w:type="spellStart"/>
      <w:r w:rsidRPr="001A5EBB">
        <w:rPr>
          <w:sz w:val="24"/>
        </w:rPr>
        <w:t>sphérophanes</w:t>
      </w:r>
      <w:proofErr w:type="spellEnd"/>
      <w:r w:rsidRPr="001A5EBB">
        <w:rPr>
          <w:sz w:val="24"/>
        </w:rPr>
        <w:t xml:space="preserve"> forment des clusters moléculaires de différentes tailles et de différentes symétries.</w:t>
      </w:r>
    </w:p>
    <w:p w:rsidR="002962E2" w:rsidRPr="001A5EBB" w:rsidRDefault="001A5EBB" w:rsidP="001A5EBB">
      <w:pPr>
        <w:rPr>
          <w:rtl/>
        </w:rPr>
      </w:pPr>
      <w:r w:rsidRPr="001A5EBB">
        <w:rPr>
          <w:sz w:val="24"/>
        </w:rPr>
        <w:tab/>
        <w:t>Nous pensons que les travaux réalisés dans ce mémoire apportent une contribution quant à la recherche de matériaux adéquats pour le stockage de l'hydrogène.</w:t>
      </w:r>
    </w:p>
    <w:sectPr w:rsidR="002962E2" w:rsidRPr="001A5EBB" w:rsidSect="00F23F12">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CB6519"/>
    <w:rsid w:val="00031A34"/>
    <w:rsid w:val="000D31EA"/>
    <w:rsid w:val="00120DD6"/>
    <w:rsid w:val="001A5EBB"/>
    <w:rsid w:val="002014B1"/>
    <w:rsid w:val="00226802"/>
    <w:rsid w:val="00247916"/>
    <w:rsid w:val="0029469C"/>
    <w:rsid w:val="002B7515"/>
    <w:rsid w:val="00461FF0"/>
    <w:rsid w:val="00511CC8"/>
    <w:rsid w:val="00654234"/>
    <w:rsid w:val="007A077A"/>
    <w:rsid w:val="00870B59"/>
    <w:rsid w:val="008F577E"/>
    <w:rsid w:val="009F483E"/>
    <w:rsid w:val="00B946E8"/>
    <w:rsid w:val="00C520E8"/>
    <w:rsid w:val="00CB6519"/>
    <w:rsid w:val="00D70431"/>
    <w:rsid w:val="00E06176"/>
    <w:rsid w:val="00EC61C3"/>
    <w:rsid w:val="00F23F12"/>
    <w:rsid w:val="00FB6200"/>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1CC8"/>
    <w:pPr>
      <w:spacing w:after="0" w:line="240" w:lineRule="auto"/>
    </w:pPr>
    <w:rPr>
      <w:rFonts w:ascii="Times New Roman" w:eastAsia="Times New Roman" w:hAnsi="Times New Roman" w:cs="Times New Roman"/>
      <w:sz w:val="20"/>
      <w:szCs w:val="20"/>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420</TotalTime>
  <Pages>2</Pages>
  <Words>862</Words>
  <Characters>4914</Characters>
  <Application>Microsoft Office Word</Application>
  <DocSecurity>0</DocSecurity>
  <Lines>40</Lines>
  <Paragraphs>11</Paragraphs>
  <ScaleCrop>false</ScaleCrop>
  <Company/>
  <LinksUpToDate>false</LinksUpToDate>
  <CharactersWithSpaces>5765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leila</dc:creator>
  <cp:lastModifiedBy>leila</cp:lastModifiedBy>
  <cp:revision>17</cp:revision>
  <dcterms:created xsi:type="dcterms:W3CDTF">2014-11-27T08:32:00Z</dcterms:created>
  <dcterms:modified xsi:type="dcterms:W3CDTF">2014-12-01T10:39:00Z</dcterms:modified>
</cp:coreProperties>
</file>