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Le travail que nous présentons dans celle thèse </w:t>
      </w:r>
      <w:r>
        <w:rPr>
          <w:rFonts w:ascii="Times New Roman" w:hAnsi="Times New Roman" w:cs="Times New Roman"/>
          <w:color w:val="69676C"/>
          <w:sz w:val="20"/>
          <w:szCs w:val="20"/>
        </w:rPr>
        <w:t xml:space="preserve">se </w:t>
      </w:r>
      <w:r>
        <w:rPr>
          <w:rFonts w:ascii="Times New Roman" w:hAnsi="Times New Roman" w:cs="Times New Roman"/>
          <w:color w:val="555257"/>
          <w:sz w:val="20"/>
          <w:szCs w:val="20"/>
        </w:rPr>
        <w:t>place au confluent de deux domaines: d'une part, la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sémantique de la programmation logique et d'autre part, la sémantique du parallélisme.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Nous avons présenté plusieurs sémantiques "logiques" dans </w:t>
      </w:r>
      <w:r>
        <w:rPr>
          <w:rFonts w:ascii="Times New Roman" w:hAnsi="Times New Roman" w:cs="Times New Roman"/>
          <w:color w:val="69676C"/>
          <w:sz w:val="20"/>
          <w:szCs w:val="20"/>
        </w:rPr>
        <w:t xml:space="preserve">un cadre </w:t>
      </w:r>
      <w:r>
        <w:rPr>
          <w:rFonts w:ascii="Times New Roman" w:hAnsi="Times New Roman" w:cs="Times New Roman"/>
          <w:color w:val="555257"/>
          <w:sz w:val="20"/>
          <w:szCs w:val="20"/>
        </w:rPr>
        <w:t>clos et étudié les propriétés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algébriques des équivalences engendrées par rapport </w:t>
      </w:r>
      <w:r>
        <w:rPr>
          <w:rFonts w:ascii="Times New Roman" w:hAnsi="Times New Roman" w:cs="Times New Roman"/>
          <w:color w:val="555257"/>
        </w:rPr>
        <w:t xml:space="preserve">à </w:t>
      </w:r>
      <w:r>
        <w:rPr>
          <w:rFonts w:ascii="Times New Roman" w:hAnsi="Times New Roman" w:cs="Times New Roman"/>
          <w:color w:val="555257"/>
          <w:sz w:val="20"/>
          <w:szCs w:val="20"/>
        </w:rPr>
        <w:t>une algèbre de programmes logiques. Nous avons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par la suite défini une nouvelle équivalence dont l'avantage est de </w:t>
      </w:r>
      <w:r>
        <w:rPr>
          <w:rFonts w:ascii="Times New Roman" w:hAnsi="Times New Roman" w:cs="Times New Roman"/>
          <w:color w:val="69676C"/>
          <w:sz w:val="20"/>
          <w:szCs w:val="20"/>
        </w:rPr>
        <w:t xml:space="preserve">préserver </w:t>
      </w:r>
      <w:r>
        <w:rPr>
          <w:rFonts w:ascii="Times New Roman" w:hAnsi="Times New Roman" w:cs="Times New Roman"/>
          <w:color w:val="555257"/>
          <w:sz w:val="20"/>
          <w:szCs w:val="20"/>
        </w:rPr>
        <w:t>les équivalences basées sur les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succès et les échecs dans les programmes logiques. L'hiérarchisation de toutes ces équivalences a été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effectuée. Dans le cadre d'un modèle de graphe, nous avons défini μn système de transition modélisant un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programme logique. Certaines équivalences ont été redéfinies à </w:t>
      </w:r>
      <w:r>
        <w:rPr>
          <w:rFonts w:ascii="Times New Roman" w:hAnsi="Times New Roman" w:cs="Times New Roman"/>
          <w:color w:val="69676C"/>
          <w:sz w:val="20"/>
          <w:szCs w:val="20"/>
        </w:rPr>
        <w:t xml:space="preserve">l'aide </w:t>
      </w:r>
      <w:r>
        <w:rPr>
          <w:rFonts w:ascii="Times New Roman" w:hAnsi="Times New Roman" w:cs="Times New Roman"/>
          <w:color w:val="555257"/>
          <w:sz w:val="20"/>
          <w:szCs w:val="20"/>
        </w:rPr>
        <w:t>des équivalences issues des modèles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A39FA2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de graphe. </w:t>
      </w:r>
      <w:r>
        <w:rPr>
          <w:rFonts w:ascii="Times New Roman" w:hAnsi="Times New Roman" w:cs="Times New Roman"/>
          <w:color w:val="69676C"/>
          <w:sz w:val="20"/>
          <w:szCs w:val="20"/>
        </w:rPr>
        <w:t xml:space="preserve">· </w:t>
      </w:r>
      <w:r>
        <w:rPr>
          <w:rFonts w:ascii="Times New Roman" w:hAnsi="Times New Roman" w:cs="Times New Roman"/>
          <w:color w:val="8C8688"/>
          <w:sz w:val="20"/>
          <w:szCs w:val="20"/>
        </w:rPr>
        <w:t xml:space="preserve">· </w:t>
      </w:r>
      <w:r>
        <w:rPr>
          <w:rFonts w:ascii="Times New Roman" w:hAnsi="Times New Roman" w:cs="Times New Roman"/>
          <w:color w:val="A39FA2"/>
          <w:sz w:val="20"/>
          <w:szCs w:val="20"/>
        </w:rPr>
        <w:t>·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Nous proposons ensuite une algèbre de processus HAL (Herbrand Agent Langage). Plusieurs sémantiques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 xml:space="preserve">ont été définies pour cette algèbre. Chacune d'elle, donne une </w:t>
      </w:r>
      <w:r>
        <w:rPr>
          <w:rFonts w:ascii="Times New Roman" w:hAnsi="Times New Roman" w:cs="Times New Roman"/>
          <w:color w:val="69676C"/>
          <w:sz w:val="20"/>
          <w:szCs w:val="20"/>
        </w:rPr>
        <w:t xml:space="preserve">expressivité </w:t>
      </w:r>
      <w:r>
        <w:rPr>
          <w:rFonts w:ascii="Times New Roman" w:hAnsi="Times New Roman" w:cs="Times New Roman"/>
          <w:color w:val="555257"/>
          <w:sz w:val="20"/>
          <w:szCs w:val="20"/>
        </w:rPr>
        <w:t>différente à HAL. Dans la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première, les processus communiquent par échange de messages. Dans la deuxième les processus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69676C"/>
          <w:sz w:val="20"/>
          <w:szCs w:val="20"/>
        </w:rPr>
        <w:t xml:space="preserve">communiquent </w:t>
      </w:r>
      <w:r>
        <w:rPr>
          <w:rFonts w:ascii="Times New Roman" w:hAnsi="Times New Roman" w:cs="Times New Roman"/>
          <w:color w:val="555257"/>
          <w:sz w:val="20"/>
          <w:szCs w:val="20"/>
        </w:rPr>
        <w:t>par échange de messages et par partage de variables. Cette algèbre a pour avantage de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généraliser la notion de communication en utilisant l'unification, les termes échangés ne sont pas forcerment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des termes clos. Cette généralisation permet d'utiliser HAL comme outil de spécification de machines à</w:t>
      </w:r>
    </w:p>
    <w:p w:rsidR="00D47726" w:rsidRDefault="00D47726" w:rsidP="00D47726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555257"/>
          <w:sz w:val="20"/>
          <w:szCs w:val="20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inférence parallèles dans plusieurs applications telles que la déduction automatique, la réécriture parallèle</w:t>
      </w:r>
    </w:p>
    <w:p w:rsidR="00046293" w:rsidRPr="00D47726" w:rsidRDefault="00D47726" w:rsidP="00D47726">
      <w:pPr>
        <w:bidi w:val="0"/>
        <w:rPr>
          <w:rFonts w:hint="cs"/>
          <w:lang w:val="fr-FR" w:bidi="ar-DZ"/>
        </w:rPr>
      </w:pPr>
      <w:r>
        <w:rPr>
          <w:rFonts w:ascii="Times New Roman" w:hAnsi="Times New Roman" w:cs="Times New Roman"/>
          <w:color w:val="555257"/>
          <w:sz w:val="20"/>
          <w:szCs w:val="20"/>
        </w:rPr>
        <w:t>... etc. Enfin nous utilisons HAL pour la spécification du parallélisme dans la programmation logique.</w:t>
      </w:r>
    </w:p>
    <w:sectPr w:rsidR="00046293" w:rsidRPr="00D4772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D47726"/>
    <w:rsid w:val="00046293"/>
    <w:rsid w:val="005F47AF"/>
    <w:rsid w:val="00D477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629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2016-02-14T08:57:00Z</dcterms:created>
  <dcterms:modified xsi:type="dcterms:W3CDTF">2016-02-14T08:57:00Z</dcterms:modified>
</cp:coreProperties>
</file>