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AC" w:rsidRPr="000276FF" w:rsidRDefault="00F11574" w:rsidP="008140AC">
      <w:pPr>
        <w:rPr>
          <w:color w:val="000000"/>
        </w:rPr>
      </w:pPr>
      <w:r w:rsidRPr="00F11574">
        <w:rPr>
          <w:noProof/>
        </w:rPr>
        <w:pict>
          <v:roundrect id="AutoShape 3" o:spid="_x0000_s1026" style="position:absolute;margin-left:-34.1pt;margin-top:38.25pt;width:522pt;height:761.25pt;z-index:251657216;visibility:visible;mso-position-vertical-relative:page" arcsize="527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" strokecolor="#4f81bd" strokeweight="5pt">
            <v:stroke linestyle="thickThin"/>
            <v:shadow color="#868686"/>
            <v:textbox>
              <w:txbxContent>
                <w:p w:rsidR="00295F3D" w:rsidRDefault="00295F3D" w:rsidP="00295F3D"/>
                <w:p w:rsidR="00295F3D" w:rsidRDefault="00295F3D" w:rsidP="00295F3D">
                  <w:pPr>
                    <w:tabs>
                      <w:tab w:val="left" w:pos="3015"/>
                    </w:tabs>
                  </w:pPr>
                  <w:r>
                    <w:tab/>
                  </w:r>
                </w:p>
                <w:p w:rsidR="00295F3D" w:rsidRDefault="00295F3D" w:rsidP="00295F3D">
                  <w:pPr>
                    <w:tabs>
                      <w:tab w:val="left" w:pos="2730"/>
                    </w:tabs>
                    <w:rPr>
                      <w:b/>
                      <w:bCs/>
                      <w:sz w:val="32"/>
                      <w:szCs w:val="32"/>
                    </w:rPr>
                  </w:pPr>
                  <w:r w:rsidRPr="008D5029">
                    <w:rPr>
                      <w:noProof/>
                      <w:sz w:val="32"/>
                      <w:szCs w:val="32"/>
                    </w:rPr>
                    <w:drawing>
                      <wp:inline distT="0" distB="0" distL="0" distR="0">
                        <wp:extent cx="1407160" cy="675640"/>
                        <wp:effectExtent l="0" t="0" r="0" b="0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http://repository.usthb.dz/image/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 r:link="rId5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07160" cy="6756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295F3D" w:rsidRPr="001C0A69" w:rsidRDefault="00295F3D" w:rsidP="00295F3D">
                  <w:pPr>
                    <w:tabs>
                      <w:tab w:val="left" w:pos="2730"/>
                    </w:tabs>
                    <w:spacing w:after="240"/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8D5029">
                    <w:rPr>
                      <w:b/>
                      <w:bCs/>
                      <w:sz w:val="32"/>
                      <w:szCs w:val="32"/>
                    </w:rPr>
                    <w:t>Faculté de Chimie</w:t>
                  </w:r>
                </w:p>
                <w:p w:rsidR="00295F3D" w:rsidRDefault="00295F3D" w:rsidP="00295F3D">
                  <w:pPr>
                    <w:tabs>
                      <w:tab w:val="left" w:pos="2730"/>
                    </w:tabs>
                    <w:jc w:val="center"/>
                    <w:rPr>
                      <w:b/>
                      <w:bCs/>
                    </w:rPr>
                  </w:pPr>
                  <w:r w:rsidRPr="0091288D">
                    <w:rPr>
                      <w:b/>
                      <w:bCs/>
                    </w:rPr>
                    <w:t>Laboratoire de Synthèse Macromoléculaire et Thio-Organique Macromoléculaire</w:t>
                  </w:r>
                </w:p>
                <w:p w:rsidR="00295F3D" w:rsidRPr="0091288D" w:rsidRDefault="00295F3D" w:rsidP="00295F3D">
                  <w:pPr>
                    <w:tabs>
                      <w:tab w:val="left" w:pos="2730"/>
                    </w:tabs>
                    <w:jc w:val="center"/>
                    <w:rPr>
                      <w:b/>
                      <w:bCs/>
                    </w:rPr>
                  </w:pPr>
                </w:p>
                <w:p w:rsidR="00295F3D" w:rsidRDefault="00FF5458" w:rsidP="00295F3D">
                  <w:pPr>
                    <w:tabs>
                      <w:tab w:val="left" w:pos="1845"/>
                    </w:tabs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Etude thermodynamique des</w:t>
                  </w:r>
                  <w:r w:rsidR="00295F3D" w:rsidRPr="0091288D">
                    <w:rPr>
                      <w:b/>
                      <w:sz w:val="28"/>
                      <w:szCs w:val="28"/>
                    </w:rPr>
                    <w:t xml:space="preserve"> mél</w:t>
                  </w:r>
                  <w:r w:rsidR="00295F3D">
                    <w:rPr>
                      <w:b/>
                      <w:sz w:val="28"/>
                      <w:szCs w:val="28"/>
                    </w:rPr>
                    <w:t>ange</w:t>
                  </w:r>
                  <w:r>
                    <w:rPr>
                      <w:b/>
                      <w:sz w:val="28"/>
                      <w:szCs w:val="28"/>
                    </w:rPr>
                    <w:t>s</w:t>
                  </w:r>
                  <w:r w:rsidR="00295F3D">
                    <w:rPr>
                      <w:b/>
                      <w:sz w:val="28"/>
                      <w:szCs w:val="28"/>
                    </w:rPr>
                    <w:t xml:space="preserve"> de polymère</w:t>
                  </w:r>
                  <w:r>
                    <w:rPr>
                      <w:b/>
                      <w:sz w:val="28"/>
                      <w:szCs w:val="28"/>
                    </w:rPr>
                    <w:t>s</w:t>
                  </w:r>
                  <w:r w:rsidR="00295F3D">
                    <w:rPr>
                      <w:b/>
                      <w:sz w:val="28"/>
                      <w:szCs w:val="28"/>
                    </w:rPr>
                    <w:t xml:space="preserve"> à base </w:t>
                  </w:r>
                </w:p>
                <w:p w:rsidR="00295F3D" w:rsidRDefault="00FF5458" w:rsidP="00295F3D">
                  <w:pPr>
                    <w:tabs>
                      <w:tab w:val="left" w:pos="1845"/>
                    </w:tabs>
                    <w:jc w:val="center"/>
                    <w:rPr>
                      <w:b/>
                      <w:sz w:val="28"/>
                      <w:szCs w:val="28"/>
                    </w:rPr>
                  </w:pPr>
                  <w:proofErr w:type="gramStart"/>
                  <w:r>
                    <w:rPr>
                      <w:b/>
                      <w:sz w:val="28"/>
                      <w:szCs w:val="28"/>
                    </w:rPr>
                    <w:t>de</w:t>
                  </w:r>
                  <w:proofErr w:type="gramEnd"/>
                  <w:r>
                    <w:rPr>
                      <w:b/>
                      <w:sz w:val="28"/>
                      <w:szCs w:val="28"/>
                    </w:rPr>
                    <w:t xml:space="preserve"> P</w:t>
                  </w:r>
                  <w:r w:rsidR="00295F3D">
                    <w:rPr>
                      <w:b/>
                      <w:sz w:val="28"/>
                      <w:szCs w:val="28"/>
                    </w:rPr>
                    <w:t>oly (</w:t>
                  </w:r>
                  <w:proofErr w:type="spellStart"/>
                  <w:r>
                    <w:rPr>
                      <w:b/>
                      <w:sz w:val="28"/>
                      <w:szCs w:val="28"/>
                    </w:rPr>
                    <w:t>V</w:t>
                  </w:r>
                  <w:r w:rsidR="00295F3D" w:rsidRPr="0091288D">
                    <w:rPr>
                      <w:b/>
                      <w:sz w:val="28"/>
                      <w:szCs w:val="28"/>
                    </w:rPr>
                    <w:t>inyl</w:t>
                  </w:r>
                  <w:proofErr w:type="spellEnd"/>
                  <w:r>
                    <w:rPr>
                      <w:b/>
                      <w:sz w:val="28"/>
                      <w:szCs w:val="28"/>
                    </w:rPr>
                    <w:t xml:space="preserve"> P</w:t>
                  </w:r>
                  <w:r w:rsidR="00295F3D">
                    <w:rPr>
                      <w:b/>
                      <w:sz w:val="28"/>
                      <w:szCs w:val="28"/>
                    </w:rPr>
                    <w:t>hénol)</w:t>
                  </w:r>
                  <w:r w:rsidR="00295F3D" w:rsidRPr="0091288D">
                    <w:rPr>
                      <w:b/>
                      <w:sz w:val="28"/>
                      <w:szCs w:val="28"/>
                    </w:rPr>
                    <w:t xml:space="preserve"> (</w:t>
                  </w:r>
                  <w:proofErr w:type="spellStart"/>
                  <w:r w:rsidR="00295F3D" w:rsidRPr="0091288D">
                    <w:rPr>
                      <w:b/>
                      <w:sz w:val="28"/>
                      <w:szCs w:val="28"/>
                    </w:rPr>
                    <w:t>PVPh</w:t>
                  </w:r>
                  <w:proofErr w:type="spellEnd"/>
                  <w:r w:rsidR="00295F3D" w:rsidRPr="0091288D">
                    <w:rPr>
                      <w:b/>
                      <w:sz w:val="28"/>
                      <w:szCs w:val="28"/>
                    </w:rPr>
                    <w:t>)</w:t>
                  </w:r>
                </w:p>
                <w:p w:rsidR="00295F3D" w:rsidRPr="0091288D" w:rsidRDefault="00295F3D" w:rsidP="00295F3D">
                  <w:pPr>
                    <w:tabs>
                      <w:tab w:val="left" w:pos="1845"/>
                    </w:tabs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295F3D" w:rsidRDefault="00295F3D" w:rsidP="00295F3D">
                  <w:pPr>
                    <w:tabs>
                      <w:tab w:val="left" w:pos="1845"/>
                    </w:tabs>
                    <w:jc w:val="center"/>
                    <w:rPr>
                      <w:b/>
                      <w:sz w:val="28"/>
                      <w:szCs w:val="28"/>
                    </w:rPr>
                  </w:pPr>
                  <w:r w:rsidRPr="0091288D">
                    <w:rPr>
                      <w:b/>
                      <w:sz w:val="28"/>
                      <w:szCs w:val="28"/>
                    </w:rPr>
                    <w:t>Résumé</w:t>
                  </w:r>
                </w:p>
                <w:p w:rsidR="00295F3D" w:rsidRPr="00FE35FB" w:rsidRDefault="00295F3D" w:rsidP="00295F3D">
                  <w:pPr>
                    <w:tabs>
                      <w:tab w:val="left" w:pos="1845"/>
                    </w:tabs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295F3D" w:rsidRPr="00B12086" w:rsidRDefault="00295F3D" w:rsidP="00295F3D">
                  <w:pPr>
                    <w:ind w:firstLine="426"/>
                    <w:jc w:val="both"/>
                    <w:rPr>
                      <w:i/>
                      <w:iCs/>
                    </w:rPr>
                  </w:pPr>
                  <w:r w:rsidRPr="00B12086">
                    <w:rPr>
                      <w:i/>
                      <w:iCs/>
                    </w:rPr>
                    <w:t xml:space="preserve">Les travaux entrepris dans le cadre de cette thèse visent l’élaboration de matériaux polymères aux propriétés améliorées à partir de mélanges de polymères à base du </w:t>
                  </w:r>
                  <w:proofErr w:type="gramStart"/>
                  <w:r w:rsidRPr="00B12086">
                    <w:rPr>
                      <w:i/>
                      <w:iCs/>
                    </w:rPr>
                    <w:t>poly(</w:t>
                  </w:r>
                  <w:proofErr w:type="spellStart"/>
                  <w:proofErr w:type="gramEnd"/>
                  <w:r w:rsidRPr="00B12086">
                    <w:rPr>
                      <w:i/>
                      <w:iCs/>
                    </w:rPr>
                    <w:t>vinyl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phénol) et à partir du  dopage d’un polymère hydrosoluble le poly(alcool vinylique).</w:t>
                  </w:r>
                </w:p>
                <w:p w:rsidR="00295F3D" w:rsidRPr="00B12086" w:rsidRDefault="00295F3D" w:rsidP="00295F3D">
                  <w:pPr>
                    <w:spacing w:before="240"/>
                    <w:ind w:firstLine="426"/>
                    <w:jc w:val="both"/>
                    <w:rPr>
                      <w:i/>
                      <w:iCs/>
                    </w:rPr>
                  </w:pPr>
                  <w:r w:rsidRPr="00B12086">
                    <w:rPr>
                      <w:i/>
                      <w:iCs/>
                    </w:rPr>
                    <w:t>Le premier volet de notre travail a porté sur l’étude thermodynamique et l’étude de la miscibilité  des systèmes poly(</w:t>
                  </w:r>
                  <w:proofErr w:type="spellStart"/>
                  <w:r w:rsidRPr="00B12086">
                    <w:rPr>
                      <w:i/>
                      <w:iCs/>
                    </w:rPr>
                    <w:t>vinyl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phénol)/ le poly(</w:t>
                  </w:r>
                  <w:proofErr w:type="spellStart"/>
                  <w:r w:rsidRPr="00B12086">
                    <w:rPr>
                      <w:i/>
                      <w:iCs/>
                    </w:rPr>
                    <w:t>vinyl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méthyle cétone) (</w:t>
                  </w:r>
                  <w:proofErr w:type="spellStart"/>
                  <w:r w:rsidRPr="00B12086">
                    <w:rPr>
                      <w:i/>
                      <w:iCs/>
                    </w:rPr>
                    <w:t>PVPh</w:t>
                  </w:r>
                  <w:proofErr w:type="spellEnd"/>
                  <w:r w:rsidRPr="00B12086">
                    <w:rPr>
                      <w:i/>
                      <w:iCs/>
                    </w:rPr>
                    <w:t>/PVMK), poly(</w:t>
                  </w:r>
                  <w:proofErr w:type="spellStart"/>
                  <w:r w:rsidRPr="00B12086">
                    <w:rPr>
                      <w:i/>
                      <w:iCs/>
                    </w:rPr>
                    <w:t>vinyl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phénol-</w:t>
                  </w:r>
                  <w:proofErr w:type="spellStart"/>
                  <w:r w:rsidRPr="00B12086">
                    <w:rPr>
                      <w:i/>
                      <w:iCs/>
                    </w:rPr>
                    <w:t>co</w:t>
                  </w:r>
                  <w:proofErr w:type="spellEnd"/>
                  <w:r w:rsidRPr="00B12086">
                    <w:rPr>
                      <w:i/>
                      <w:iCs/>
                    </w:rPr>
                    <w:t>-</w:t>
                  </w:r>
                  <w:proofErr w:type="spellStart"/>
                  <w:r w:rsidRPr="00B12086">
                    <w:rPr>
                      <w:i/>
                      <w:iCs/>
                    </w:rPr>
                    <w:t>méthyl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méthacrylate) / le poly(</w:t>
                  </w:r>
                  <w:proofErr w:type="spellStart"/>
                  <w:r w:rsidRPr="00B12086">
                    <w:rPr>
                      <w:i/>
                      <w:iCs/>
                    </w:rPr>
                    <w:t>vinyl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méthyle cétone) (PVPhMMA50/PVMK), poly(</w:t>
                  </w:r>
                  <w:proofErr w:type="spellStart"/>
                  <w:r w:rsidRPr="00B12086">
                    <w:rPr>
                      <w:i/>
                      <w:iCs/>
                    </w:rPr>
                    <w:t>vinylphénol</w:t>
                  </w:r>
                  <w:proofErr w:type="spellEnd"/>
                  <w:r w:rsidRPr="00B12086">
                    <w:rPr>
                      <w:i/>
                      <w:iCs/>
                    </w:rPr>
                    <w:t>-</w:t>
                  </w:r>
                  <w:proofErr w:type="spellStart"/>
                  <w:r w:rsidRPr="00B12086">
                    <w:rPr>
                      <w:i/>
                      <w:iCs/>
                    </w:rPr>
                    <w:t>co</w:t>
                  </w:r>
                  <w:proofErr w:type="spellEnd"/>
                  <w:r w:rsidRPr="00B12086">
                    <w:rPr>
                      <w:i/>
                      <w:iCs/>
                    </w:rPr>
                    <w:t>-</w:t>
                  </w:r>
                  <w:proofErr w:type="spellStart"/>
                  <w:r w:rsidRPr="00B12086">
                    <w:rPr>
                      <w:i/>
                      <w:iCs/>
                    </w:rPr>
                    <w:t>méthyl</w:t>
                  </w:r>
                  <w:proofErr w:type="spellEnd"/>
                  <w:r w:rsidRPr="00B12086">
                    <w:rPr>
                      <w:i/>
                      <w:iCs/>
                    </w:rPr>
                    <w:t xml:space="preserve"> méthacrylate)/ poly(styrène-</w:t>
                  </w:r>
                  <w:proofErr w:type="spellStart"/>
                  <w:r w:rsidRPr="00B12086">
                    <w:rPr>
                      <w:i/>
                      <w:iCs/>
                    </w:rPr>
                    <w:t>co</w:t>
                  </w:r>
                  <w:proofErr w:type="spellEnd"/>
                  <w:r w:rsidRPr="00B12086">
                    <w:rPr>
                      <w:i/>
                      <w:iCs/>
                    </w:rPr>
                    <w:t>-4-</w:t>
                  </w:r>
                  <w:proofErr w:type="spellStart"/>
                  <w:r w:rsidRPr="00B12086">
                    <w:rPr>
                      <w:i/>
                      <w:iCs/>
                    </w:rPr>
                    <w:t>vinylpyridine</w:t>
                  </w:r>
                  <w:proofErr w:type="spellEnd"/>
                  <w:r w:rsidRPr="00B12086">
                    <w:rPr>
                      <w:i/>
                      <w:iCs/>
                    </w:rPr>
                    <w:t>) (PVPhMMA50/PS4VP)  par l’analyse enthalpique différentielle (DSC), l’analyse thermogravimétrique (ATG) la spectroscopie infrarouge à transformée de Fourier (FTIR) et la microscopie électronique à balayage (MEB), le copolymère PS4VP à différentes composition en 4-VP ayant préalablement été synthétisé et caractérisé.</w:t>
                  </w:r>
                </w:p>
                <w:p w:rsidR="00295F3D" w:rsidRPr="00941FE1" w:rsidRDefault="00295F3D" w:rsidP="00295F3D">
                  <w:pPr>
                    <w:spacing w:before="240"/>
                    <w:jc w:val="both"/>
                    <w:rPr>
                      <w:i/>
                      <w:iCs/>
                    </w:rPr>
                  </w:pPr>
                  <w:r w:rsidRPr="00941FE1">
                    <w:rPr>
                      <w:i/>
                      <w:iCs/>
                    </w:rPr>
                    <w:t xml:space="preserve">      L’étude par l</w:t>
                  </w:r>
                  <w:r>
                    <w:rPr>
                      <w:i/>
                      <w:iCs/>
                    </w:rPr>
                    <w:t xml:space="preserve">a DSC a montré que les </w:t>
                  </w:r>
                  <w:proofErr w:type="spellStart"/>
                  <w:r>
                    <w:rPr>
                      <w:i/>
                      <w:iCs/>
                    </w:rPr>
                    <w:t>mélanges</w:t>
                  </w:r>
                  <w:r w:rsidRPr="00941FE1">
                    <w:rPr>
                      <w:i/>
                      <w:iCs/>
                    </w:rPr>
                    <w:t>PVPh</w:t>
                  </w:r>
                  <w:proofErr w:type="spellEnd"/>
                  <w:r w:rsidRPr="00941FE1">
                    <w:rPr>
                      <w:i/>
                      <w:iCs/>
                    </w:rPr>
                    <w:t>/PVMK et</w:t>
                  </w:r>
                  <w:r>
                    <w:rPr>
                      <w:i/>
                      <w:iCs/>
                    </w:rPr>
                    <w:t xml:space="preserve"> PVPhMMA50/PVMK sont miscibles en toutes</w:t>
                  </w:r>
                  <w:r w:rsidRPr="00941FE1">
                    <w:rPr>
                      <w:i/>
                      <w:iCs/>
                    </w:rPr>
                    <w:t xml:space="preserve"> proportions. L’obtention des Tg nettement </w:t>
                  </w:r>
                  <w:r w:rsidRPr="00811C3F">
                    <w:rPr>
                      <w:i/>
                      <w:iCs/>
                    </w:rPr>
                    <w:t xml:space="preserve">supérieures à celles observées </w:t>
                  </w:r>
                  <w:r w:rsidRPr="00941FE1">
                    <w:rPr>
                      <w:i/>
                      <w:iCs/>
                    </w:rPr>
                    <w:t>pour les composant</w:t>
                  </w:r>
                  <w:r>
                    <w:rPr>
                      <w:i/>
                      <w:iCs/>
                    </w:rPr>
                    <w:t>s</w:t>
                  </w:r>
                  <w:r w:rsidRPr="00941FE1">
                    <w:rPr>
                      <w:i/>
                      <w:iCs/>
                    </w:rPr>
                    <w:t xml:space="preserve"> pur</w:t>
                  </w:r>
                  <w:r>
                    <w:rPr>
                      <w:i/>
                      <w:iCs/>
                    </w:rPr>
                    <w:t>s</w:t>
                  </w:r>
                  <w:r w:rsidRPr="00941FE1">
                    <w:rPr>
                      <w:i/>
                      <w:iCs/>
                    </w:rPr>
                    <w:t xml:space="preserve"> du mélange indique que ces systèmes sont capables de former des complexes interpolymères.</w:t>
                  </w:r>
                </w:p>
                <w:p w:rsidR="00295F3D" w:rsidRPr="00B12086" w:rsidRDefault="00295F3D" w:rsidP="00295F3D">
                  <w:pPr>
                    <w:spacing w:before="240"/>
                    <w:ind w:firstLine="426"/>
                    <w:jc w:val="both"/>
                    <w:rPr>
                      <w:i/>
                      <w:iCs/>
                    </w:rPr>
                  </w:pPr>
                  <w:r w:rsidRPr="00B12086">
                    <w:rPr>
                      <w:i/>
                      <w:iCs/>
                    </w:rPr>
                    <w:t>L’étude des systèmes PVPhMMA50/PS4VP à différentes compositions en 4-VP a montré que les mélanges de composition en 4-vinylpyridine inférieure à 30% sont immiscibles. Ils sont caractérisés par l'apparition de deux Tg. Cependant, au-dessus de cette composition, une seule Tg a été observée. La formation des complexes interpolymères pour les systèmes à base du PS4VP et dont la composition en 4-VP est supérieure à 40% est supposée.</w:t>
                  </w:r>
                </w:p>
                <w:p w:rsidR="00295F3D" w:rsidRPr="00941FE1" w:rsidRDefault="00295F3D" w:rsidP="00295F3D">
                  <w:pPr>
                    <w:spacing w:before="240"/>
                    <w:jc w:val="both"/>
                    <w:rPr>
                      <w:i/>
                      <w:iCs/>
                    </w:rPr>
                  </w:pPr>
                  <w:r w:rsidRPr="00941FE1">
                    <w:rPr>
                      <w:i/>
                      <w:iCs/>
                    </w:rPr>
                    <w:t xml:space="preserve">      L'analyse FTIR a montré l'existence d'interactions spécifiques préférentielles </w:t>
                  </w:r>
                  <w:r>
                    <w:rPr>
                      <w:i/>
                      <w:iCs/>
                    </w:rPr>
                    <w:t>de type</w:t>
                  </w:r>
                  <w:r w:rsidRPr="00941FE1">
                    <w:rPr>
                      <w:i/>
                      <w:iCs/>
                    </w:rPr>
                    <w:t xml:space="preserve"> liaison hydrogène entre les groupes hydroxyles /car</w:t>
                  </w:r>
                  <w:r>
                    <w:rPr>
                      <w:i/>
                      <w:iCs/>
                    </w:rPr>
                    <w:t>bonyles, hydroxyle /pyridine qui s’</w:t>
                  </w:r>
                  <w:r w:rsidRPr="00941FE1">
                    <w:rPr>
                      <w:i/>
                      <w:iCs/>
                    </w:rPr>
                    <w:t>intensifi</w:t>
                  </w:r>
                  <w:r>
                    <w:rPr>
                      <w:i/>
                      <w:iCs/>
                    </w:rPr>
                    <w:t xml:space="preserve">e avec l’augmentation de la fraction du </w:t>
                  </w:r>
                  <w:proofErr w:type="spellStart"/>
                  <w:r>
                    <w:rPr>
                      <w:i/>
                      <w:iCs/>
                    </w:rPr>
                    <w:t>PVPh</w:t>
                  </w:r>
                  <w:proofErr w:type="spellEnd"/>
                  <w:r w:rsidRPr="00941FE1">
                    <w:rPr>
                      <w:i/>
                      <w:iCs/>
                    </w:rPr>
                    <w:t xml:space="preserve"> et 4-</w:t>
                  </w:r>
                  <w:proofErr w:type="spellStart"/>
                  <w:r>
                    <w:rPr>
                      <w:i/>
                      <w:iCs/>
                    </w:rPr>
                    <w:t>VPdans</w:t>
                  </w:r>
                  <w:proofErr w:type="spellEnd"/>
                  <w:r>
                    <w:rPr>
                      <w:i/>
                      <w:iCs/>
                    </w:rPr>
                    <w:t xml:space="preserve"> </w:t>
                  </w:r>
                  <w:r w:rsidRPr="00941FE1">
                    <w:rPr>
                      <w:i/>
                      <w:iCs/>
                    </w:rPr>
                    <w:t xml:space="preserve">les mélanges. </w:t>
                  </w:r>
                </w:p>
                <w:p w:rsidR="00295F3D" w:rsidRPr="0093060B" w:rsidRDefault="00295F3D" w:rsidP="00295F3D">
                  <w:pPr>
                    <w:spacing w:before="240"/>
                    <w:jc w:val="both"/>
                    <w:rPr>
                      <w:i/>
                      <w:iCs/>
                    </w:rPr>
                  </w:pPr>
                  <w:r w:rsidRPr="0093060B">
                    <w:rPr>
                      <w:i/>
                      <w:iCs/>
                    </w:rPr>
                    <w:t>L’analyse ATG a montré que des systèmes binaires étudiés sont plus stables que les constituants purs.</w:t>
                  </w:r>
                </w:p>
                <w:p w:rsidR="00295F3D" w:rsidRPr="001630B9" w:rsidRDefault="00295F3D" w:rsidP="00295F3D">
                  <w:pPr>
                    <w:autoSpaceDE w:val="0"/>
                    <w:autoSpaceDN w:val="0"/>
                    <w:adjustRightInd w:val="0"/>
                    <w:spacing w:before="240"/>
                    <w:ind w:firstLine="426"/>
                    <w:jc w:val="both"/>
                    <w:rPr>
                      <w:i/>
                      <w:iCs/>
                    </w:rPr>
                  </w:pPr>
                  <w:r w:rsidRPr="001630B9">
                    <w:rPr>
                      <w:i/>
                      <w:iCs/>
                    </w:rPr>
                    <w:t xml:space="preserve">Le second volet de notre travail a porté sur l’examen de l’effet du dopage du PVA par une série d’ions métalliques. La caractérisation thermique des polymères composites obtenus a montré que le cuivre est le dopant qui génère le plus d’effetsur le comportement thermique du PVA. </w:t>
                  </w:r>
                </w:p>
                <w:p w:rsidR="00295F3D" w:rsidRPr="00107CD6" w:rsidRDefault="00295F3D" w:rsidP="00295F3D">
                  <w:pPr>
                    <w:tabs>
                      <w:tab w:val="left" w:pos="3015"/>
                    </w:tabs>
                  </w:pPr>
                </w:p>
              </w:txbxContent>
            </v:textbox>
            <w10:wrap anchory="page"/>
          </v:roundrect>
        </w:pict>
      </w:r>
      <w:r w:rsidR="00261977">
        <w:rPr>
          <w:color w:val="000000"/>
        </w:rPr>
        <w:t>33</w:t>
      </w:r>
    </w:p>
    <w:p w:rsidR="008140AC" w:rsidRDefault="008140AC" w:rsidP="008140AC">
      <w:pPr>
        <w:rPr>
          <w:color w:val="000000"/>
        </w:rPr>
      </w:pPr>
      <w:r>
        <w:rPr>
          <w:color w:val="000000"/>
        </w:rPr>
        <w:t xml:space="preserve">Soutenue publiquement </w:t>
      </w:r>
      <w:r w:rsidRPr="000276FF">
        <w:rPr>
          <w:color w:val="000000"/>
        </w:rPr>
        <w:t>le</w:t>
      </w:r>
      <w:r>
        <w:rPr>
          <w:color w:val="000000"/>
        </w:rPr>
        <w:t xml:space="preserve"> 18/12/2007, </w:t>
      </w:r>
      <w:r w:rsidRPr="000276FF">
        <w:rPr>
          <w:color w:val="000000"/>
        </w:rPr>
        <w:t>devant le Jury composé de</w:t>
      </w:r>
    </w:p>
    <w:p w:rsidR="008140AC" w:rsidRPr="000276FF" w:rsidRDefault="008140AC" w:rsidP="008140AC">
      <w:pPr>
        <w:rPr>
          <w:color w:val="000000"/>
        </w:rPr>
      </w:pPr>
    </w:p>
    <w:p w:rsidR="00D06065" w:rsidRDefault="00D06065" w:rsidP="008140AC"/>
    <w:p w:rsidR="008140AC" w:rsidRDefault="008140AC" w:rsidP="008140AC"/>
    <w:p w:rsidR="008140AC" w:rsidRDefault="008140AC" w:rsidP="008140AC"/>
    <w:p w:rsidR="008140AC" w:rsidRDefault="008140AC" w:rsidP="008140AC"/>
    <w:p w:rsidR="008140AC" w:rsidRDefault="008140AC" w:rsidP="008140AC"/>
    <w:p w:rsidR="008140AC" w:rsidRDefault="008140AC" w:rsidP="008140AC"/>
    <w:p w:rsidR="008140AC" w:rsidRDefault="008140AC" w:rsidP="008140AC"/>
    <w:p w:rsidR="008140AC" w:rsidRDefault="008140AC" w:rsidP="008140AC"/>
    <w:p w:rsidR="008140AC" w:rsidRPr="008140AC" w:rsidRDefault="008140AC" w:rsidP="008140AC"/>
    <w:sectPr w:rsidR="008140AC" w:rsidRPr="008140AC" w:rsidSect="00FF5458">
      <w:pgSz w:w="11906" w:h="16838"/>
      <w:pgMar w:top="1417" w:right="1417" w:bottom="1417" w:left="1417" w:header="708" w:footer="708" w:gutter="0"/>
      <w:pgBorders w:offsetFrom="page">
        <w:top w:val="thinThickSmallGap" w:sz="24" w:space="24" w:color="4F81BD"/>
        <w:left w:val="thinThickSmallGap" w:sz="24" w:space="24" w:color="4F81BD"/>
        <w:bottom w:val="thickThinSmallGap" w:sz="24" w:space="24" w:color="4F81BD"/>
        <w:right w:val="thickThinSmallGap" w:sz="24" w:space="24" w:color="4F81BD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40AC"/>
    <w:rsid w:val="000112FC"/>
    <w:rsid w:val="00014F5F"/>
    <w:rsid w:val="0002444B"/>
    <w:rsid w:val="0007503E"/>
    <w:rsid w:val="000A7DFB"/>
    <w:rsid w:val="000D6AB8"/>
    <w:rsid w:val="000E1498"/>
    <w:rsid w:val="000F5021"/>
    <w:rsid w:val="000F5F87"/>
    <w:rsid w:val="001000BA"/>
    <w:rsid w:val="00105DE3"/>
    <w:rsid w:val="00133BA5"/>
    <w:rsid w:val="0013611D"/>
    <w:rsid w:val="001526EE"/>
    <w:rsid w:val="001C1E83"/>
    <w:rsid w:val="001D6497"/>
    <w:rsid w:val="001E3049"/>
    <w:rsid w:val="00200B1B"/>
    <w:rsid w:val="002035BB"/>
    <w:rsid w:val="00214CB0"/>
    <w:rsid w:val="00227332"/>
    <w:rsid w:val="002275E8"/>
    <w:rsid w:val="00256F18"/>
    <w:rsid w:val="00261977"/>
    <w:rsid w:val="00295F3D"/>
    <w:rsid w:val="002A6A02"/>
    <w:rsid w:val="002D02CE"/>
    <w:rsid w:val="002D2808"/>
    <w:rsid w:val="002D4E4A"/>
    <w:rsid w:val="002F56A1"/>
    <w:rsid w:val="003C2FA4"/>
    <w:rsid w:val="003D114F"/>
    <w:rsid w:val="003F0A22"/>
    <w:rsid w:val="004657F5"/>
    <w:rsid w:val="00466016"/>
    <w:rsid w:val="00497B56"/>
    <w:rsid w:val="004A39C8"/>
    <w:rsid w:val="004B657B"/>
    <w:rsid w:val="004C4AA5"/>
    <w:rsid w:val="0055046D"/>
    <w:rsid w:val="005526A0"/>
    <w:rsid w:val="005541A1"/>
    <w:rsid w:val="00560569"/>
    <w:rsid w:val="00572276"/>
    <w:rsid w:val="005B7E2D"/>
    <w:rsid w:val="005C695D"/>
    <w:rsid w:val="0061102E"/>
    <w:rsid w:val="00620955"/>
    <w:rsid w:val="00665592"/>
    <w:rsid w:val="00673114"/>
    <w:rsid w:val="00675578"/>
    <w:rsid w:val="0068245D"/>
    <w:rsid w:val="0068623A"/>
    <w:rsid w:val="006C0C86"/>
    <w:rsid w:val="006C72D5"/>
    <w:rsid w:val="006F0736"/>
    <w:rsid w:val="007745DC"/>
    <w:rsid w:val="007B78D0"/>
    <w:rsid w:val="007C33EB"/>
    <w:rsid w:val="007C5E76"/>
    <w:rsid w:val="007D6FBE"/>
    <w:rsid w:val="008140AC"/>
    <w:rsid w:val="0083127A"/>
    <w:rsid w:val="0084604F"/>
    <w:rsid w:val="00846FFC"/>
    <w:rsid w:val="00854187"/>
    <w:rsid w:val="00866699"/>
    <w:rsid w:val="008976EC"/>
    <w:rsid w:val="008A3B34"/>
    <w:rsid w:val="008C5ABB"/>
    <w:rsid w:val="008E1806"/>
    <w:rsid w:val="008F6D1C"/>
    <w:rsid w:val="00902199"/>
    <w:rsid w:val="00917183"/>
    <w:rsid w:val="009A53D1"/>
    <w:rsid w:val="009B20C9"/>
    <w:rsid w:val="009C1138"/>
    <w:rsid w:val="009C48D0"/>
    <w:rsid w:val="00A35119"/>
    <w:rsid w:val="00A36F57"/>
    <w:rsid w:val="00AC5FB4"/>
    <w:rsid w:val="00AF0A32"/>
    <w:rsid w:val="00AF40E2"/>
    <w:rsid w:val="00B25D76"/>
    <w:rsid w:val="00B448D4"/>
    <w:rsid w:val="00B86C88"/>
    <w:rsid w:val="00BB0466"/>
    <w:rsid w:val="00BB3B04"/>
    <w:rsid w:val="00BE5628"/>
    <w:rsid w:val="00C025B5"/>
    <w:rsid w:val="00C07842"/>
    <w:rsid w:val="00C3531F"/>
    <w:rsid w:val="00C43A9A"/>
    <w:rsid w:val="00C6425C"/>
    <w:rsid w:val="00C75AEF"/>
    <w:rsid w:val="00C81ADA"/>
    <w:rsid w:val="00C86812"/>
    <w:rsid w:val="00C92844"/>
    <w:rsid w:val="00C92AB6"/>
    <w:rsid w:val="00CA2275"/>
    <w:rsid w:val="00CE4523"/>
    <w:rsid w:val="00D06065"/>
    <w:rsid w:val="00D17AD3"/>
    <w:rsid w:val="00D555A0"/>
    <w:rsid w:val="00D81787"/>
    <w:rsid w:val="00DF032D"/>
    <w:rsid w:val="00E2388F"/>
    <w:rsid w:val="00E4652F"/>
    <w:rsid w:val="00E80042"/>
    <w:rsid w:val="00F02707"/>
    <w:rsid w:val="00F04262"/>
    <w:rsid w:val="00F11574"/>
    <w:rsid w:val="00F1343C"/>
    <w:rsid w:val="00F17A90"/>
    <w:rsid w:val="00F37E26"/>
    <w:rsid w:val="00F40839"/>
    <w:rsid w:val="00F46774"/>
    <w:rsid w:val="00F55985"/>
    <w:rsid w:val="00F71B9C"/>
    <w:rsid w:val="00F77DA1"/>
    <w:rsid w:val="00FD0990"/>
    <w:rsid w:val="00FD740D"/>
    <w:rsid w:val="00FE398C"/>
    <w:rsid w:val="00FE767A"/>
    <w:rsid w:val="00FF54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0AC"/>
    <w:rPr>
      <w:rFonts w:ascii="Times New Roman" w:eastAsia="Times New Roman" w:hAnsi="Times New Roman"/>
      <w:sz w:val="24"/>
      <w:szCs w:val="24"/>
    </w:rPr>
  </w:style>
  <w:style w:type="paragraph" w:styleId="Titre1">
    <w:name w:val="heading 1"/>
    <w:aliases w:val="Section"/>
    <w:basedOn w:val="Normal"/>
    <w:next w:val="Normal"/>
    <w:link w:val="Titre1Car"/>
    <w:qFormat/>
    <w:rsid w:val="008140AC"/>
    <w:pPr>
      <w:keepNext/>
      <w:widowControl w:val="0"/>
      <w:autoSpaceDE w:val="0"/>
      <w:autoSpaceDN w:val="0"/>
      <w:adjustRightInd w:val="0"/>
      <w:spacing w:before="240" w:after="160"/>
      <w:outlineLvl w:val="0"/>
    </w:pPr>
    <w:rPr>
      <w:sz w:val="34"/>
      <w:szCs w:val="34"/>
      <w:lang w:eastAsia="tr-T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aliases w:val="Section Car"/>
    <w:link w:val="Titre1"/>
    <w:rsid w:val="008140AC"/>
    <w:rPr>
      <w:rFonts w:ascii="Times New Roman" w:eastAsia="Times New Roman" w:hAnsi="Times New Roman" w:cs="Times New Roman"/>
      <w:sz w:val="34"/>
      <w:szCs w:val="34"/>
      <w:lang w:eastAsia="tr-T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140A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8140AC"/>
    <w:rPr>
      <w:rFonts w:ascii="Tahoma" w:eastAsia="Times New Roman" w:hAnsi="Tahoma" w:cs="Tahoma"/>
      <w:sz w:val="16"/>
      <w:szCs w:val="16"/>
      <w:lang w:eastAsia="fr-FR"/>
    </w:rPr>
  </w:style>
  <w:style w:type="table" w:styleId="Grilledutableau">
    <w:name w:val="Table Grid"/>
    <w:basedOn w:val="TableauNormal"/>
    <w:uiPriority w:val="59"/>
    <w:rsid w:val="00256F18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4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2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http://repository.usthb.dz/image/dspace-blue.gif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XPSP2</Company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naima</cp:lastModifiedBy>
  <cp:revision>6</cp:revision>
  <cp:lastPrinted>2017-05-30T22:12:00Z</cp:lastPrinted>
  <dcterms:created xsi:type="dcterms:W3CDTF">2017-05-30T22:07:00Z</dcterms:created>
  <dcterms:modified xsi:type="dcterms:W3CDTF">2018-04-08T10:19:00Z</dcterms:modified>
</cp:coreProperties>
</file>