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C15" w:rsidRPr="008F18AC" w:rsidRDefault="006A6C15" w:rsidP="006A6C15">
      <w:pPr>
        <w:pStyle w:val="Paragraphedeliste"/>
        <w:tabs>
          <w:tab w:val="left" w:pos="142"/>
        </w:tabs>
        <w:ind w:left="0"/>
        <w:jc w:val="both"/>
        <w:rPr>
          <w:rFonts w:asciiTheme="majorBidi" w:hAnsiTheme="majorBidi" w:cstheme="majorBidi"/>
          <w:b/>
          <w:bCs/>
        </w:rPr>
      </w:pPr>
      <w:r w:rsidRPr="008F18AC">
        <w:rPr>
          <w:rFonts w:asciiTheme="majorBidi" w:hAnsiTheme="majorBidi" w:cstheme="majorBidi"/>
          <w:b/>
          <w:bCs/>
        </w:rPr>
        <w:t>Contribution à la connaissance des interactions palmier dattier</w:t>
      </w:r>
      <w:r w:rsidRPr="008F18AC">
        <w:rPr>
          <w:rFonts w:asciiTheme="majorBidi" w:hAnsiTheme="majorBidi" w:cstheme="majorBidi"/>
          <w:bCs/>
        </w:rPr>
        <w:t xml:space="preserve"> (</w:t>
      </w:r>
      <w:r w:rsidRPr="008F18AC">
        <w:rPr>
          <w:rFonts w:asciiTheme="majorBidi" w:hAnsiTheme="majorBidi" w:cstheme="majorBidi"/>
          <w:bCs/>
          <w:i/>
        </w:rPr>
        <w:t xml:space="preserve">Phoenix </w:t>
      </w:r>
      <w:proofErr w:type="spellStart"/>
      <w:r w:rsidRPr="008F18AC">
        <w:rPr>
          <w:rFonts w:asciiTheme="majorBidi" w:hAnsiTheme="majorBidi" w:cstheme="majorBidi"/>
          <w:bCs/>
          <w:i/>
        </w:rPr>
        <w:t>dactylifera</w:t>
      </w:r>
      <w:proofErr w:type="spellEnd"/>
      <w:r w:rsidRPr="008F18AC">
        <w:rPr>
          <w:rFonts w:asciiTheme="majorBidi" w:hAnsiTheme="majorBidi" w:cstheme="majorBidi"/>
          <w:bCs/>
        </w:rPr>
        <w:t xml:space="preserve"> L.)</w:t>
      </w:r>
      <w:r w:rsidR="00EC6994" w:rsidRPr="008F18AC">
        <w:rPr>
          <w:rFonts w:asciiTheme="majorBidi" w:hAnsiTheme="majorBidi" w:cstheme="majorBidi"/>
          <w:bCs/>
        </w:rPr>
        <w:t xml:space="preserve"> </w:t>
      </w:r>
      <w:r w:rsidRPr="008F18AC">
        <w:rPr>
          <w:rFonts w:asciiTheme="majorBidi" w:hAnsiTheme="majorBidi" w:cstheme="majorBidi"/>
          <w:b/>
          <w:bCs/>
        </w:rPr>
        <w:t>-</w:t>
      </w:r>
      <w:r w:rsidR="00EC6994" w:rsidRPr="008F18AC">
        <w:rPr>
          <w:rFonts w:asciiTheme="majorBidi" w:hAnsiTheme="majorBidi" w:cstheme="majorBidi"/>
          <w:bCs/>
        </w:rPr>
        <w:t xml:space="preserve"> </w:t>
      </w:r>
      <w:r w:rsidRPr="008F18AC">
        <w:rPr>
          <w:rFonts w:asciiTheme="majorBidi" w:hAnsiTheme="majorBidi" w:cstheme="majorBidi"/>
          <w:b/>
          <w:bCs/>
        </w:rPr>
        <w:t>agent causal du</w:t>
      </w:r>
      <w:r w:rsidRPr="008F18AC">
        <w:rPr>
          <w:rFonts w:asciiTheme="majorBidi" w:hAnsiTheme="majorBidi" w:cstheme="majorBidi"/>
          <w:bCs/>
        </w:rPr>
        <w:t xml:space="preserve"> </w:t>
      </w:r>
      <w:proofErr w:type="spellStart"/>
      <w:r w:rsidRPr="008F18AC">
        <w:rPr>
          <w:rFonts w:asciiTheme="majorBidi" w:hAnsiTheme="majorBidi" w:cstheme="majorBidi"/>
          <w:b/>
          <w:bCs/>
        </w:rPr>
        <w:t>bayoud</w:t>
      </w:r>
      <w:proofErr w:type="spellEnd"/>
      <w:r w:rsidRPr="008F18AC">
        <w:rPr>
          <w:rFonts w:asciiTheme="majorBidi" w:hAnsiTheme="majorBidi" w:cstheme="majorBidi"/>
          <w:bCs/>
        </w:rPr>
        <w:t xml:space="preserve"> (</w:t>
      </w:r>
      <w:proofErr w:type="spellStart"/>
      <w:r w:rsidRPr="008F18AC">
        <w:rPr>
          <w:rFonts w:asciiTheme="majorBidi" w:hAnsiTheme="majorBidi" w:cstheme="majorBidi"/>
          <w:bCs/>
          <w:i/>
        </w:rPr>
        <w:t>Fusarium</w:t>
      </w:r>
      <w:proofErr w:type="spellEnd"/>
      <w:r w:rsidRPr="008F18AC">
        <w:rPr>
          <w:rFonts w:asciiTheme="majorBidi" w:hAnsiTheme="majorBidi" w:cstheme="majorBidi"/>
          <w:bCs/>
          <w:i/>
        </w:rPr>
        <w:t xml:space="preserve"> </w:t>
      </w:r>
      <w:proofErr w:type="spellStart"/>
      <w:r w:rsidRPr="008F18AC">
        <w:rPr>
          <w:rFonts w:asciiTheme="majorBidi" w:hAnsiTheme="majorBidi" w:cstheme="majorBidi"/>
          <w:bCs/>
          <w:i/>
        </w:rPr>
        <w:t>oxysporum</w:t>
      </w:r>
      <w:proofErr w:type="spellEnd"/>
      <w:r w:rsidRPr="008F18AC">
        <w:rPr>
          <w:rFonts w:asciiTheme="majorBidi" w:hAnsiTheme="majorBidi" w:cstheme="majorBidi"/>
          <w:bCs/>
        </w:rPr>
        <w:t xml:space="preserve"> f.</w:t>
      </w:r>
      <w:r w:rsidR="008F18AC">
        <w:rPr>
          <w:rFonts w:asciiTheme="majorBidi" w:hAnsiTheme="majorBidi" w:cstheme="majorBidi"/>
          <w:bCs/>
        </w:rPr>
        <w:t xml:space="preserve"> </w:t>
      </w:r>
      <w:proofErr w:type="spellStart"/>
      <w:r w:rsidRPr="008F18AC">
        <w:rPr>
          <w:rFonts w:asciiTheme="majorBidi" w:hAnsiTheme="majorBidi" w:cstheme="majorBidi"/>
          <w:bCs/>
        </w:rPr>
        <w:t>sp</w:t>
      </w:r>
      <w:proofErr w:type="spellEnd"/>
      <w:r w:rsidRPr="008F18AC">
        <w:rPr>
          <w:rFonts w:asciiTheme="majorBidi" w:hAnsiTheme="majorBidi" w:cstheme="majorBidi"/>
          <w:bCs/>
        </w:rPr>
        <w:t xml:space="preserve">. </w:t>
      </w:r>
      <w:proofErr w:type="spellStart"/>
      <w:r w:rsidRPr="008F18AC">
        <w:rPr>
          <w:rFonts w:asciiTheme="majorBidi" w:hAnsiTheme="majorBidi" w:cstheme="majorBidi"/>
          <w:bCs/>
          <w:i/>
        </w:rPr>
        <w:t>albedinis</w:t>
      </w:r>
      <w:proofErr w:type="spellEnd"/>
      <w:r w:rsidRPr="008F18AC">
        <w:rPr>
          <w:rFonts w:asciiTheme="majorBidi" w:hAnsiTheme="majorBidi" w:cstheme="majorBidi"/>
          <w:bCs/>
        </w:rPr>
        <w:t xml:space="preserve">) </w:t>
      </w:r>
      <w:r w:rsidRPr="008F18AC">
        <w:rPr>
          <w:rFonts w:asciiTheme="majorBidi" w:hAnsiTheme="majorBidi" w:cstheme="majorBidi"/>
          <w:b/>
          <w:bCs/>
        </w:rPr>
        <w:t xml:space="preserve">par analyses </w:t>
      </w:r>
      <w:proofErr w:type="spellStart"/>
      <w:r w:rsidRPr="008F18AC">
        <w:rPr>
          <w:rFonts w:asciiTheme="majorBidi" w:hAnsiTheme="majorBidi" w:cstheme="majorBidi"/>
          <w:b/>
          <w:bCs/>
        </w:rPr>
        <w:t>phytochimiques</w:t>
      </w:r>
      <w:proofErr w:type="spellEnd"/>
      <w:r w:rsidRPr="008F18AC">
        <w:rPr>
          <w:rFonts w:asciiTheme="majorBidi" w:hAnsiTheme="majorBidi" w:cstheme="majorBidi"/>
          <w:b/>
          <w:bCs/>
        </w:rPr>
        <w:t xml:space="preserve"> des lipides et des </w:t>
      </w:r>
      <w:proofErr w:type="spellStart"/>
      <w:r w:rsidRPr="008F18AC">
        <w:rPr>
          <w:rFonts w:asciiTheme="majorBidi" w:hAnsiTheme="majorBidi" w:cstheme="majorBidi"/>
          <w:b/>
          <w:bCs/>
        </w:rPr>
        <w:t>phénylpropanoïdes</w:t>
      </w:r>
      <w:proofErr w:type="spellEnd"/>
      <w:r w:rsidRPr="008F18AC">
        <w:rPr>
          <w:rFonts w:asciiTheme="majorBidi" w:hAnsiTheme="majorBidi" w:cstheme="majorBidi"/>
          <w:bCs/>
        </w:rPr>
        <w:t>.</w:t>
      </w:r>
    </w:p>
    <w:p w:rsidR="007761DB" w:rsidRPr="008F18AC" w:rsidRDefault="007761DB" w:rsidP="007761DB">
      <w:pPr>
        <w:pStyle w:val="Paragraphedeliste"/>
        <w:tabs>
          <w:tab w:val="left" w:pos="142"/>
        </w:tabs>
        <w:ind w:left="0"/>
        <w:jc w:val="both"/>
        <w:rPr>
          <w:rFonts w:asciiTheme="majorBidi" w:hAnsiTheme="majorBidi" w:cstheme="majorBidi"/>
          <w:bCs/>
        </w:rPr>
      </w:pPr>
    </w:p>
    <w:p w:rsidR="004938F0" w:rsidRPr="008F18AC" w:rsidRDefault="008F18AC" w:rsidP="007761DB">
      <w:pPr>
        <w:pStyle w:val="Paragraphedeliste"/>
        <w:tabs>
          <w:tab w:val="left" w:pos="142"/>
        </w:tabs>
        <w:ind w:left="0"/>
        <w:jc w:val="both"/>
        <w:rPr>
          <w:rFonts w:asciiTheme="majorBidi" w:hAnsiTheme="majorBidi" w:cstheme="majorBidi"/>
          <w:b/>
          <w:sz w:val="20"/>
          <w:szCs w:val="20"/>
        </w:rPr>
      </w:pPr>
      <w:proofErr w:type="spellStart"/>
      <w:r w:rsidRPr="008F18AC">
        <w:rPr>
          <w:rFonts w:asciiTheme="majorBidi" w:hAnsiTheme="majorBidi" w:cstheme="majorBidi"/>
          <w:b/>
          <w:sz w:val="20"/>
          <w:szCs w:val="20"/>
        </w:rPr>
        <w:t>Gaceb</w:t>
      </w:r>
      <w:proofErr w:type="spellEnd"/>
      <w:r w:rsidRPr="008F18AC">
        <w:rPr>
          <w:rFonts w:asciiTheme="majorBidi" w:hAnsiTheme="majorBidi" w:cstheme="majorBidi"/>
          <w:b/>
          <w:sz w:val="20"/>
          <w:szCs w:val="20"/>
        </w:rPr>
        <w:t>-</w:t>
      </w:r>
      <w:proofErr w:type="spellStart"/>
      <w:r w:rsidRPr="008F18AC">
        <w:rPr>
          <w:rFonts w:asciiTheme="majorBidi" w:hAnsiTheme="majorBidi" w:cstheme="majorBidi"/>
          <w:b/>
          <w:sz w:val="20"/>
          <w:szCs w:val="20"/>
        </w:rPr>
        <w:t>Terrak</w:t>
      </w:r>
      <w:proofErr w:type="spellEnd"/>
      <w:r w:rsidRPr="008F18AC">
        <w:rPr>
          <w:rFonts w:asciiTheme="majorBidi" w:hAnsiTheme="majorBidi" w:cstheme="majorBidi"/>
          <w:b/>
          <w:sz w:val="20"/>
          <w:szCs w:val="20"/>
        </w:rPr>
        <w:t xml:space="preserve"> </w:t>
      </w:r>
      <w:proofErr w:type="spellStart"/>
      <w:r w:rsidRPr="008F18AC">
        <w:rPr>
          <w:rFonts w:asciiTheme="majorBidi" w:hAnsiTheme="majorBidi" w:cstheme="majorBidi"/>
          <w:b/>
          <w:sz w:val="20"/>
          <w:szCs w:val="20"/>
        </w:rPr>
        <w:t>Rabéa</w:t>
      </w:r>
      <w:proofErr w:type="spellEnd"/>
    </w:p>
    <w:p w:rsidR="008F18AC" w:rsidRDefault="008F18AC" w:rsidP="007761DB">
      <w:pPr>
        <w:pStyle w:val="Paragraphedeliste"/>
        <w:tabs>
          <w:tab w:val="left" w:pos="142"/>
        </w:tabs>
        <w:ind w:left="0"/>
        <w:jc w:val="both"/>
        <w:rPr>
          <w:rFonts w:asciiTheme="majorBidi" w:hAnsiTheme="majorBidi" w:cstheme="majorBidi"/>
          <w:bCs/>
          <w:sz w:val="20"/>
          <w:szCs w:val="20"/>
        </w:rPr>
      </w:pPr>
      <w:r w:rsidRPr="008F18AC">
        <w:rPr>
          <w:rFonts w:asciiTheme="majorBidi" w:hAnsiTheme="majorBidi" w:cstheme="majorBidi"/>
          <w:bCs/>
          <w:sz w:val="20"/>
          <w:szCs w:val="20"/>
        </w:rPr>
        <w:t xml:space="preserve">Laboratoire de recherche sur les zones arides, Faculté des sciences biologiques, Université des sciences et de la technologie Houari Boumediene (USTHB), BP 32, El-Alia 16111, </w:t>
      </w:r>
      <w:proofErr w:type="spellStart"/>
      <w:r w:rsidRPr="008F18AC">
        <w:rPr>
          <w:rFonts w:asciiTheme="majorBidi" w:hAnsiTheme="majorBidi" w:cstheme="majorBidi"/>
          <w:bCs/>
          <w:sz w:val="20"/>
          <w:szCs w:val="20"/>
        </w:rPr>
        <w:t>Bab</w:t>
      </w:r>
      <w:proofErr w:type="spellEnd"/>
      <w:r w:rsidRPr="008F18AC">
        <w:rPr>
          <w:rFonts w:asciiTheme="majorBidi" w:hAnsiTheme="majorBidi" w:cstheme="majorBidi"/>
          <w:bCs/>
          <w:sz w:val="20"/>
          <w:szCs w:val="20"/>
        </w:rPr>
        <w:t xml:space="preserve"> </w:t>
      </w:r>
      <w:proofErr w:type="spellStart"/>
      <w:r w:rsidRPr="008F18AC">
        <w:rPr>
          <w:rFonts w:asciiTheme="majorBidi" w:hAnsiTheme="majorBidi" w:cstheme="majorBidi"/>
          <w:bCs/>
          <w:sz w:val="20"/>
          <w:szCs w:val="20"/>
        </w:rPr>
        <w:t>Ezzouar</w:t>
      </w:r>
      <w:proofErr w:type="spellEnd"/>
      <w:r w:rsidRPr="008F18AC">
        <w:rPr>
          <w:rFonts w:asciiTheme="majorBidi" w:hAnsiTheme="majorBidi" w:cstheme="majorBidi"/>
          <w:bCs/>
          <w:sz w:val="20"/>
          <w:szCs w:val="20"/>
        </w:rPr>
        <w:t xml:space="preserve">, Alger, Algérie ; </w:t>
      </w:r>
    </w:p>
    <w:p w:rsidR="008F18AC" w:rsidRPr="008F18AC" w:rsidRDefault="008F18AC" w:rsidP="007761DB">
      <w:pPr>
        <w:pStyle w:val="Paragraphedeliste"/>
        <w:tabs>
          <w:tab w:val="left" w:pos="142"/>
        </w:tabs>
        <w:ind w:left="0"/>
        <w:jc w:val="both"/>
        <w:rPr>
          <w:rFonts w:asciiTheme="majorBidi" w:hAnsiTheme="majorBidi" w:cstheme="majorBidi"/>
          <w:bCs/>
          <w:sz w:val="20"/>
          <w:szCs w:val="20"/>
        </w:rPr>
      </w:pPr>
      <w:r w:rsidRPr="008F18AC">
        <w:rPr>
          <w:rFonts w:asciiTheme="majorBidi" w:hAnsiTheme="majorBidi" w:cstheme="majorBidi"/>
          <w:bCs/>
          <w:sz w:val="20"/>
          <w:szCs w:val="20"/>
        </w:rPr>
        <w:t xml:space="preserve">E-mail : </w:t>
      </w:r>
      <w:hyperlink r:id="rId4" w:history="1">
        <w:r w:rsidRPr="008F18AC">
          <w:rPr>
            <w:rStyle w:val="Lienhypertexte"/>
            <w:rFonts w:asciiTheme="majorBidi" w:hAnsiTheme="majorBidi" w:cstheme="majorBidi"/>
            <w:bCs/>
            <w:sz w:val="20"/>
            <w:szCs w:val="20"/>
          </w:rPr>
          <w:t>gaceb_terrak@yahoo.fr</w:t>
        </w:r>
      </w:hyperlink>
    </w:p>
    <w:p w:rsidR="008F18AC" w:rsidRDefault="008F18AC" w:rsidP="007761DB">
      <w:pPr>
        <w:pStyle w:val="Paragraphedeliste"/>
        <w:tabs>
          <w:tab w:val="left" w:pos="142"/>
        </w:tabs>
        <w:ind w:left="0"/>
        <w:jc w:val="both"/>
        <w:rPr>
          <w:rFonts w:asciiTheme="majorBidi" w:hAnsiTheme="majorBidi" w:cstheme="majorBidi"/>
          <w:bCs/>
        </w:rPr>
      </w:pPr>
    </w:p>
    <w:p w:rsidR="008D31E7" w:rsidRPr="008F18AC" w:rsidRDefault="008D31E7" w:rsidP="007761DB">
      <w:pPr>
        <w:pStyle w:val="Paragraphedeliste"/>
        <w:tabs>
          <w:tab w:val="left" w:pos="142"/>
        </w:tabs>
        <w:ind w:left="0"/>
        <w:jc w:val="both"/>
        <w:rPr>
          <w:rFonts w:asciiTheme="majorBidi" w:hAnsiTheme="majorBidi" w:cstheme="majorBidi"/>
          <w:bCs/>
        </w:rPr>
      </w:pPr>
    </w:p>
    <w:p w:rsidR="007761DB" w:rsidRPr="008F18AC" w:rsidRDefault="007761DB" w:rsidP="007761DB">
      <w:pPr>
        <w:pStyle w:val="Paragraphedeliste"/>
        <w:tabs>
          <w:tab w:val="left" w:pos="142"/>
        </w:tabs>
        <w:ind w:left="0"/>
        <w:jc w:val="both"/>
        <w:rPr>
          <w:rFonts w:asciiTheme="majorBidi" w:hAnsiTheme="majorBidi" w:cstheme="majorBidi"/>
          <w:b/>
          <w:bCs/>
        </w:rPr>
      </w:pPr>
      <w:r w:rsidRPr="008F18AC">
        <w:rPr>
          <w:rFonts w:asciiTheme="majorBidi" w:hAnsiTheme="majorBidi" w:cstheme="majorBidi"/>
          <w:b/>
          <w:bCs/>
        </w:rPr>
        <w:t>Résumé :</w:t>
      </w:r>
    </w:p>
    <w:p w:rsidR="007761DB" w:rsidRPr="008F18AC" w:rsidRDefault="00716282" w:rsidP="008D31E7">
      <w:pPr>
        <w:pStyle w:val="Paragraphedeliste"/>
        <w:tabs>
          <w:tab w:val="left" w:pos="142"/>
        </w:tabs>
        <w:ind w:left="0"/>
        <w:jc w:val="both"/>
        <w:rPr>
          <w:rFonts w:asciiTheme="majorBidi" w:hAnsiTheme="majorBidi" w:cstheme="majorBidi"/>
        </w:rPr>
      </w:pPr>
      <w:r w:rsidRPr="008F18AC">
        <w:rPr>
          <w:rFonts w:asciiTheme="majorBidi" w:hAnsiTheme="majorBidi" w:cstheme="majorBidi"/>
          <w:bCs/>
        </w:rPr>
        <w:t>Alors que les</w:t>
      </w:r>
      <w:r w:rsidR="007761DB" w:rsidRPr="008F18AC">
        <w:rPr>
          <w:rFonts w:asciiTheme="majorBidi" w:hAnsiTheme="majorBidi" w:cstheme="majorBidi"/>
          <w:bCs/>
        </w:rPr>
        <w:t xml:space="preserve"> base</w:t>
      </w:r>
      <w:r w:rsidRPr="008F18AC">
        <w:rPr>
          <w:rFonts w:asciiTheme="majorBidi" w:hAnsiTheme="majorBidi" w:cstheme="majorBidi"/>
          <w:bCs/>
        </w:rPr>
        <w:t>s</w:t>
      </w:r>
      <w:r w:rsidR="007761DB" w:rsidRPr="008F18AC">
        <w:rPr>
          <w:rFonts w:asciiTheme="majorBidi" w:hAnsiTheme="majorBidi" w:cstheme="majorBidi"/>
          <w:bCs/>
        </w:rPr>
        <w:t xml:space="preserve"> des interactions hôte-pathogène chez certaines plantes sont désormais bien élucidées, que ce soit au niveau physiologique, métabolique ou moléculaire, chez le palmier dattier </w:t>
      </w:r>
      <w:r w:rsidR="007761DB" w:rsidRPr="008F18AC">
        <w:rPr>
          <w:rFonts w:asciiTheme="majorBidi" w:hAnsiTheme="majorBidi" w:cstheme="majorBidi"/>
          <w:i/>
          <w:color w:val="000000"/>
        </w:rPr>
        <w:t xml:space="preserve">Phoenix </w:t>
      </w:r>
      <w:proofErr w:type="spellStart"/>
      <w:r w:rsidR="007761DB" w:rsidRPr="008F18AC">
        <w:rPr>
          <w:rFonts w:asciiTheme="majorBidi" w:hAnsiTheme="majorBidi" w:cstheme="majorBidi"/>
          <w:i/>
          <w:color w:val="000000"/>
        </w:rPr>
        <w:t>dactylifera</w:t>
      </w:r>
      <w:proofErr w:type="spellEnd"/>
      <w:r w:rsidR="007761DB" w:rsidRPr="008F18AC">
        <w:rPr>
          <w:rFonts w:asciiTheme="majorBidi" w:hAnsiTheme="majorBidi" w:cstheme="majorBidi"/>
          <w:color w:val="000000"/>
        </w:rPr>
        <w:t xml:space="preserve"> L., </w:t>
      </w:r>
      <w:r w:rsidR="007761DB" w:rsidRPr="008F18AC">
        <w:rPr>
          <w:rFonts w:asciiTheme="majorBidi" w:hAnsiTheme="majorBidi" w:cstheme="majorBidi"/>
          <w:bCs/>
        </w:rPr>
        <w:t xml:space="preserve">les investigations n’ont sont qu’à leur début. Notre objectif a donc été </w:t>
      </w:r>
      <w:r w:rsidR="007761DB" w:rsidRPr="008F18AC">
        <w:rPr>
          <w:rFonts w:asciiTheme="majorBidi" w:hAnsiTheme="majorBidi" w:cstheme="majorBidi"/>
          <w:color w:val="000000"/>
        </w:rPr>
        <w:t>d’améliorer notre compréhension des interactions installées entre les antagonistes «</w:t>
      </w:r>
      <w:r w:rsidRPr="008F18AC">
        <w:rPr>
          <w:rFonts w:asciiTheme="majorBidi" w:hAnsiTheme="majorBidi" w:cstheme="majorBidi"/>
          <w:color w:val="000000"/>
        </w:rPr>
        <w:t xml:space="preserve"> </w:t>
      </w:r>
      <w:r w:rsidR="007761DB" w:rsidRPr="008F18AC">
        <w:rPr>
          <w:rFonts w:asciiTheme="majorBidi" w:hAnsiTheme="majorBidi" w:cstheme="majorBidi"/>
          <w:color w:val="000000"/>
        </w:rPr>
        <w:t>cultivar résistant – pathogène</w:t>
      </w:r>
      <w:r w:rsidRPr="008F18AC">
        <w:rPr>
          <w:rFonts w:asciiTheme="majorBidi" w:hAnsiTheme="majorBidi" w:cstheme="majorBidi"/>
          <w:color w:val="000000"/>
        </w:rPr>
        <w:t xml:space="preserve"> </w:t>
      </w:r>
      <w:r w:rsidR="007761DB" w:rsidRPr="008F18AC">
        <w:rPr>
          <w:rFonts w:asciiTheme="majorBidi" w:hAnsiTheme="majorBidi" w:cstheme="majorBidi"/>
          <w:color w:val="000000"/>
        </w:rPr>
        <w:t>» et «</w:t>
      </w:r>
      <w:r w:rsidRPr="008F18AC">
        <w:rPr>
          <w:rFonts w:asciiTheme="majorBidi" w:hAnsiTheme="majorBidi" w:cstheme="majorBidi"/>
          <w:color w:val="000000"/>
        </w:rPr>
        <w:t xml:space="preserve"> </w:t>
      </w:r>
      <w:r w:rsidR="007761DB" w:rsidRPr="008F18AC">
        <w:rPr>
          <w:rFonts w:asciiTheme="majorBidi" w:hAnsiTheme="majorBidi" w:cstheme="majorBidi"/>
          <w:color w:val="000000"/>
        </w:rPr>
        <w:t>cultivar sensible – pathogène</w:t>
      </w:r>
      <w:r w:rsidRPr="008F18AC">
        <w:rPr>
          <w:rFonts w:asciiTheme="majorBidi" w:hAnsiTheme="majorBidi" w:cstheme="majorBidi"/>
          <w:color w:val="000000"/>
        </w:rPr>
        <w:t xml:space="preserve"> </w:t>
      </w:r>
      <w:r w:rsidR="007761DB" w:rsidRPr="008F18AC">
        <w:rPr>
          <w:rFonts w:asciiTheme="majorBidi" w:hAnsiTheme="majorBidi" w:cstheme="majorBidi"/>
          <w:color w:val="000000"/>
        </w:rPr>
        <w:t xml:space="preserve">» en nous appuyant en particulier sur l’implication des lipides et des composés phénoliques dans ces relations. Une telle approche pourrait faciliter la sélection de matériel génétique et permettre l’orientation vers une meilleure valorisation des cultivars sensibles. Nos résultats montrent que </w:t>
      </w:r>
      <w:r w:rsidR="007761DB" w:rsidRPr="008F18AC">
        <w:rPr>
          <w:rFonts w:asciiTheme="majorBidi" w:hAnsiTheme="majorBidi" w:cstheme="majorBidi"/>
        </w:rPr>
        <w:t xml:space="preserve">face aux agressions causées par l’agent pathogène </w:t>
      </w:r>
      <w:r w:rsidR="007761DB" w:rsidRPr="008F18AC">
        <w:rPr>
          <w:rFonts w:asciiTheme="majorBidi" w:hAnsiTheme="majorBidi" w:cstheme="majorBidi"/>
          <w:i/>
        </w:rPr>
        <w:t xml:space="preserve">F. </w:t>
      </w:r>
      <w:proofErr w:type="spellStart"/>
      <w:r w:rsidR="007761DB" w:rsidRPr="008F18AC">
        <w:rPr>
          <w:rFonts w:asciiTheme="majorBidi" w:hAnsiTheme="majorBidi" w:cstheme="majorBidi"/>
          <w:i/>
        </w:rPr>
        <w:t>oxysporum</w:t>
      </w:r>
      <w:proofErr w:type="spellEnd"/>
      <w:r w:rsidR="007761DB" w:rsidRPr="008F18AC">
        <w:rPr>
          <w:rFonts w:asciiTheme="majorBidi" w:hAnsiTheme="majorBidi" w:cstheme="majorBidi"/>
          <w:i/>
        </w:rPr>
        <w:t xml:space="preserve"> </w:t>
      </w:r>
      <w:r w:rsidR="007761DB" w:rsidRPr="008F18AC">
        <w:rPr>
          <w:rFonts w:asciiTheme="majorBidi" w:hAnsiTheme="majorBidi" w:cstheme="majorBidi"/>
        </w:rPr>
        <w:t>f.</w:t>
      </w:r>
      <w:r w:rsidRPr="008F18AC">
        <w:rPr>
          <w:rFonts w:asciiTheme="majorBidi" w:hAnsiTheme="majorBidi" w:cstheme="majorBidi"/>
        </w:rPr>
        <w:t xml:space="preserve"> </w:t>
      </w:r>
      <w:proofErr w:type="spellStart"/>
      <w:r w:rsidR="007761DB" w:rsidRPr="008F18AC">
        <w:rPr>
          <w:rFonts w:asciiTheme="majorBidi" w:hAnsiTheme="majorBidi" w:cstheme="majorBidi"/>
        </w:rPr>
        <w:t>sp</w:t>
      </w:r>
      <w:proofErr w:type="spellEnd"/>
      <w:r w:rsidR="007761DB" w:rsidRPr="008F18AC">
        <w:rPr>
          <w:rFonts w:asciiTheme="majorBidi" w:hAnsiTheme="majorBidi" w:cstheme="majorBidi"/>
        </w:rPr>
        <w:t>.</w:t>
      </w:r>
      <w:r w:rsidR="007761DB" w:rsidRPr="008F18AC">
        <w:rPr>
          <w:rFonts w:asciiTheme="majorBidi" w:hAnsiTheme="majorBidi" w:cstheme="majorBidi"/>
          <w:i/>
        </w:rPr>
        <w:t xml:space="preserve"> </w:t>
      </w:r>
      <w:proofErr w:type="spellStart"/>
      <w:proofErr w:type="gramStart"/>
      <w:r w:rsidR="007761DB" w:rsidRPr="008F18AC">
        <w:rPr>
          <w:rFonts w:asciiTheme="majorBidi" w:hAnsiTheme="majorBidi" w:cstheme="majorBidi"/>
          <w:i/>
        </w:rPr>
        <w:t>albedinis</w:t>
      </w:r>
      <w:proofErr w:type="spellEnd"/>
      <w:proofErr w:type="gramEnd"/>
      <w:r w:rsidR="007761DB" w:rsidRPr="008F18AC">
        <w:rPr>
          <w:rFonts w:asciiTheme="majorBidi" w:hAnsiTheme="majorBidi" w:cstheme="majorBidi"/>
        </w:rPr>
        <w:t>, le palmier dattier met en œuvre des systèmes préventifs mais aussi des mécanismes de résistance induits par l’agent pathogène lui même. Ces processus déclenchent l’activation des</w:t>
      </w:r>
      <w:r w:rsidR="006A6C15" w:rsidRPr="008F18AC">
        <w:rPr>
          <w:rFonts w:asciiTheme="majorBidi" w:hAnsiTheme="majorBidi" w:cstheme="majorBidi"/>
        </w:rPr>
        <w:t xml:space="preserve"> voies métaboliques des lipides </w:t>
      </w:r>
      <w:r w:rsidR="007761DB" w:rsidRPr="008F18AC">
        <w:rPr>
          <w:rFonts w:asciiTheme="majorBidi" w:hAnsiTheme="majorBidi" w:cstheme="majorBidi"/>
        </w:rPr>
        <w:t>e</w:t>
      </w:r>
      <w:r w:rsidR="006A6C15" w:rsidRPr="008F18AC">
        <w:rPr>
          <w:rFonts w:asciiTheme="majorBidi" w:hAnsiTheme="majorBidi" w:cstheme="majorBidi"/>
        </w:rPr>
        <w:t xml:space="preserve">t des </w:t>
      </w:r>
      <w:proofErr w:type="spellStart"/>
      <w:r w:rsidR="006A6C15" w:rsidRPr="008F18AC">
        <w:rPr>
          <w:rFonts w:asciiTheme="majorBidi" w:hAnsiTheme="majorBidi" w:cstheme="majorBidi"/>
        </w:rPr>
        <w:t>phénylpropanoïdes</w:t>
      </w:r>
      <w:proofErr w:type="spellEnd"/>
      <w:r w:rsidR="007761DB" w:rsidRPr="008F18AC">
        <w:rPr>
          <w:rFonts w:asciiTheme="majorBidi" w:hAnsiTheme="majorBidi" w:cstheme="majorBidi"/>
        </w:rPr>
        <w:t xml:space="preserve">. Deux stratégies de défenses principales sont élucidées à travers nos résultats chez le cultivar résistant : </w:t>
      </w:r>
      <w:r w:rsidR="00EC6994" w:rsidRPr="008F18AC">
        <w:rPr>
          <w:rFonts w:asciiTheme="majorBidi" w:hAnsiTheme="majorBidi" w:cstheme="majorBidi"/>
        </w:rPr>
        <w:t xml:space="preserve">La première </w:t>
      </w:r>
      <w:r w:rsidR="007761DB" w:rsidRPr="008F18AC">
        <w:rPr>
          <w:rFonts w:asciiTheme="majorBidi" w:hAnsiTheme="majorBidi" w:cstheme="majorBidi"/>
        </w:rPr>
        <w:t xml:space="preserve">s’appuie sur le renforcement des barrières mécaniques constitutives par apposition de lamelles de subérine, polyester aux domaines lipidique (aliphatique) et </w:t>
      </w:r>
      <w:proofErr w:type="spellStart"/>
      <w:r w:rsidR="007761DB" w:rsidRPr="008F18AC">
        <w:rPr>
          <w:rFonts w:asciiTheme="majorBidi" w:hAnsiTheme="majorBidi" w:cstheme="majorBidi"/>
        </w:rPr>
        <w:t>polyphénolique</w:t>
      </w:r>
      <w:proofErr w:type="spellEnd"/>
      <w:r w:rsidR="007761DB" w:rsidRPr="008F18AC">
        <w:rPr>
          <w:rFonts w:asciiTheme="majorBidi" w:hAnsiTheme="majorBidi" w:cstheme="majorBidi"/>
        </w:rPr>
        <w:t xml:space="preserve"> (aromatique). Ce processus rend la paroi cellulaire étanche</w:t>
      </w:r>
      <w:r w:rsidR="00EC6994" w:rsidRPr="008F18AC">
        <w:rPr>
          <w:rFonts w:asciiTheme="majorBidi" w:hAnsiTheme="majorBidi" w:cstheme="majorBidi"/>
        </w:rPr>
        <w:t xml:space="preserve"> et imperméable</w:t>
      </w:r>
      <w:r w:rsidR="007761DB" w:rsidRPr="008F18AC">
        <w:rPr>
          <w:rFonts w:asciiTheme="majorBidi" w:hAnsiTheme="majorBidi" w:cstheme="majorBidi"/>
        </w:rPr>
        <w:t xml:space="preserve"> à la progression du pathogène dans la racine. L’alpha-</w:t>
      </w:r>
      <w:proofErr w:type="spellStart"/>
      <w:r w:rsidR="007761DB" w:rsidRPr="008F18AC">
        <w:rPr>
          <w:rFonts w:asciiTheme="majorBidi" w:hAnsiTheme="majorBidi" w:cstheme="majorBidi"/>
        </w:rPr>
        <w:t>monooléine</w:t>
      </w:r>
      <w:proofErr w:type="spellEnd"/>
      <w:r w:rsidR="007761DB" w:rsidRPr="008F18AC">
        <w:rPr>
          <w:rFonts w:asciiTheme="majorBidi" w:hAnsiTheme="majorBidi" w:cstheme="majorBidi"/>
        </w:rPr>
        <w:t xml:space="preserve"> (</w:t>
      </w:r>
      <w:proofErr w:type="spellStart"/>
      <w:r w:rsidR="007761DB" w:rsidRPr="008F18AC">
        <w:rPr>
          <w:rFonts w:asciiTheme="majorBidi" w:hAnsiTheme="majorBidi" w:cstheme="majorBidi"/>
        </w:rPr>
        <w:t>monoglycéride</w:t>
      </w:r>
      <w:proofErr w:type="spellEnd"/>
      <w:r w:rsidR="007761DB" w:rsidRPr="008F18AC">
        <w:rPr>
          <w:rFonts w:asciiTheme="majorBidi" w:hAnsiTheme="majorBidi" w:cstheme="majorBidi"/>
        </w:rPr>
        <w:t xml:space="preserve">) constitue le domaine aliphatique et l’acide </w:t>
      </w:r>
      <w:proofErr w:type="spellStart"/>
      <w:r w:rsidR="007761DB" w:rsidRPr="008F18AC">
        <w:rPr>
          <w:rFonts w:asciiTheme="majorBidi" w:hAnsiTheme="majorBidi" w:cstheme="majorBidi"/>
        </w:rPr>
        <w:t>hydroxyhydrocinnamique</w:t>
      </w:r>
      <w:proofErr w:type="spellEnd"/>
      <w:r w:rsidR="007761DB" w:rsidRPr="008F18AC">
        <w:rPr>
          <w:rFonts w:asciiTheme="majorBidi" w:hAnsiTheme="majorBidi" w:cstheme="majorBidi"/>
        </w:rPr>
        <w:t xml:space="preserve"> le domaine aromatique de l’</w:t>
      </w:r>
      <w:proofErr w:type="spellStart"/>
      <w:r w:rsidR="007761DB" w:rsidRPr="008F18AC">
        <w:rPr>
          <w:rFonts w:asciiTheme="majorBidi" w:hAnsiTheme="majorBidi" w:cstheme="majorBidi"/>
        </w:rPr>
        <w:t>exoderme</w:t>
      </w:r>
      <w:proofErr w:type="spellEnd"/>
      <w:r w:rsidR="007761DB" w:rsidRPr="008F18AC">
        <w:rPr>
          <w:rFonts w:asciiTheme="majorBidi" w:hAnsiTheme="majorBidi" w:cstheme="majorBidi"/>
        </w:rPr>
        <w:t xml:space="preserve"> (</w:t>
      </w:r>
      <w:proofErr w:type="spellStart"/>
      <w:r w:rsidR="007761DB" w:rsidRPr="008F18AC">
        <w:rPr>
          <w:rFonts w:asciiTheme="majorBidi" w:hAnsiTheme="majorBidi" w:cstheme="majorBidi"/>
        </w:rPr>
        <w:t>subéroïde</w:t>
      </w:r>
      <w:proofErr w:type="spellEnd"/>
      <w:r w:rsidR="007761DB" w:rsidRPr="008F18AC">
        <w:rPr>
          <w:rFonts w:asciiTheme="majorBidi" w:hAnsiTheme="majorBidi" w:cstheme="majorBidi"/>
        </w:rPr>
        <w:t xml:space="preserve">) et/ou de l’endoderme de la racine du dattier. </w:t>
      </w:r>
      <w:r w:rsidR="00B87391" w:rsidRPr="008F18AC">
        <w:rPr>
          <w:rFonts w:asciiTheme="majorBidi" w:hAnsiTheme="majorBidi" w:cstheme="majorBidi"/>
        </w:rPr>
        <w:t xml:space="preserve">La seconde, </w:t>
      </w:r>
      <w:r w:rsidRPr="008F18AC">
        <w:rPr>
          <w:rFonts w:asciiTheme="majorBidi" w:hAnsiTheme="majorBidi" w:cstheme="majorBidi"/>
        </w:rPr>
        <w:t xml:space="preserve"> </w:t>
      </w:r>
      <w:r w:rsidR="00EC6994" w:rsidRPr="008F18AC">
        <w:rPr>
          <w:rFonts w:asciiTheme="majorBidi" w:hAnsiTheme="majorBidi" w:cstheme="majorBidi"/>
        </w:rPr>
        <w:t>vise à activer un processus de mort programmée ou</w:t>
      </w:r>
      <w:r w:rsidR="00995994" w:rsidRPr="008F18AC">
        <w:rPr>
          <w:rFonts w:asciiTheme="majorBidi" w:hAnsiTheme="majorBidi" w:cstheme="majorBidi"/>
        </w:rPr>
        <w:t xml:space="preserve"> nécrose</w:t>
      </w:r>
      <w:r w:rsidR="00EC6994" w:rsidRPr="008F18AC">
        <w:rPr>
          <w:rFonts w:asciiTheme="majorBidi" w:hAnsiTheme="majorBidi" w:cstheme="majorBidi"/>
        </w:rPr>
        <w:t> </w:t>
      </w:r>
      <w:r w:rsidR="00995994" w:rsidRPr="008F18AC">
        <w:rPr>
          <w:rFonts w:asciiTheme="majorBidi" w:hAnsiTheme="majorBidi" w:cstheme="majorBidi"/>
        </w:rPr>
        <w:t xml:space="preserve">induite </w:t>
      </w:r>
      <w:r w:rsidRPr="008F18AC">
        <w:rPr>
          <w:rFonts w:asciiTheme="majorBidi" w:hAnsiTheme="majorBidi" w:cstheme="majorBidi"/>
        </w:rPr>
        <w:t>par deux saponines stéroïdes,</w:t>
      </w:r>
      <w:r w:rsidR="00995994" w:rsidRPr="008F18AC">
        <w:rPr>
          <w:rFonts w:asciiTheme="majorBidi" w:hAnsiTheme="majorBidi" w:cstheme="majorBidi"/>
        </w:rPr>
        <w:t xml:space="preserve"> </w:t>
      </w:r>
      <w:proofErr w:type="spellStart"/>
      <w:r w:rsidR="00995994" w:rsidRPr="008F18AC">
        <w:rPr>
          <w:rFonts w:asciiTheme="majorBidi" w:hAnsiTheme="majorBidi" w:cstheme="majorBidi"/>
        </w:rPr>
        <w:t>Diosgénine</w:t>
      </w:r>
      <w:proofErr w:type="spellEnd"/>
      <w:r w:rsidR="00995994" w:rsidRPr="008F18AC">
        <w:rPr>
          <w:rFonts w:asciiTheme="majorBidi" w:hAnsiTheme="majorBidi" w:cstheme="majorBidi"/>
        </w:rPr>
        <w:t xml:space="preserve"> et </w:t>
      </w:r>
      <w:proofErr w:type="spellStart"/>
      <w:r w:rsidR="00EC6994" w:rsidRPr="008F18AC">
        <w:rPr>
          <w:rFonts w:asciiTheme="majorBidi" w:hAnsiTheme="majorBidi" w:cstheme="majorBidi"/>
        </w:rPr>
        <w:t>Yamogénine</w:t>
      </w:r>
      <w:proofErr w:type="spellEnd"/>
      <w:r w:rsidRPr="008F18AC">
        <w:rPr>
          <w:rFonts w:asciiTheme="majorBidi" w:hAnsiTheme="majorBidi" w:cstheme="majorBidi"/>
        </w:rPr>
        <w:t> ; ces molécules</w:t>
      </w:r>
      <w:r w:rsidR="00EC6994" w:rsidRPr="008F18AC">
        <w:rPr>
          <w:rFonts w:asciiTheme="majorBidi" w:hAnsiTheme="majorBidi" w:cstheme="majorBidi"/>
        </w:rPr>
        <w:t xml:space="preserve"> ne</w:t>
      </w:r>
      <w:r w:rsidR="00995994" w:rsidRPr="008F18AC">
        <w:rPr>
          <w:rFonts w:asciiTheme="majorBidi" w:hAnsiTheme="majorBidi" w:cstheme="majorBidi"/>
        </w:rPr>
        <w:t xml:space="preserve"> sont révélées que</w:t>
      </w:r>
      <w:r w:rsidR="00EC6994" w:rsidRPr="008F18AC">
        <w:rPr>
          <w:rFonts w:asciiTheme="majorBidi" w:hAnsiTheme="majorBidi" w:cstheme="majorBidi"/>
        </w:rPr>
        <w:t xml:space="preserve"> </w:t>
      </w:r>
      <w:r w:rsidR="00995994" w:rsidRPr="008F18AC">
        <w:rPr>
          <w:rFonts w:asciiTheme="majorBidi" w:hAnsiTheme="majorBidi" w:cstheme="majorBidi"/>
        </w:rPr>
        <w:t>c</w:t>
      </w:r>
      <w:r w:rsidRPr="008F18AC">
        <w:rPr>
          <w:rFonts w:asciiTheme="majorBidi" w:hAnsiTheme="majorBidi" w:cstheme="majorBidi"/>
        </w:rPr>
        <w:t>hez le cultivar résistant</w:t>
      </w:r>
      <w:r w:rsidR="00995994" w:rsidRPr="008F18AC">
        <w:rPr>
          <w:rFonts w:asciiTheme="majorBidi" w:hAnsiTheme="majorBidi" w:cstheme="majorBidi"/>
        </w:rPr>
        <w:t xml:space="preserve">. </w:t>
      </w:r>
      <w:r w:rsidR="007761DB" w:rsidRPr="008F18AC">
        <w:rPr>
          <w:rFonts w:asciiTheme="majorBidi" w:hAnsiTheme="majorBidi" w:cstheme="majorBidi"/>
        </w:rPr>
        <w:t>Face à l’agent pathogène, le cultivar sensible accumule des  proportions considérables</w:t>
      </w:r>
      <w:r w:rsidR="00B87391" w:rsidRPr="008F18AC">
        <w:rPr>
          <w:rFonts w:asciiTheme="majorBidi" w:hAnsiTheme="majorBidi" w:cstheme="majorBidi"/>
        </w:rPr>
        <w:t xml:space="preserve"> en acide</w:t>
      </w:r>
      <w:r w:rsidR="007761DB" w:rsidRPr="008F18AC">
        <w:rPr>
          <w:rFonts w:asciiTheme="majorBidi" w:hAnsiTheme="majorBidi" w:cstheme="majorBidi"/>
        </w:rPr>
        <w:t xml:space="preserve"> </w:t>
      </w:r>
      <w:r w:rsidR="007761DB" w:rsidRPr="008F18AC">
        <w:rPr>
          <w:rFonts w:asciiTheme="majorBidi" w:hAnsiTheme="majorBidi" w:cstheme="majorBidi"/>
          <w:i/>
        </w:rPr>
        <w:t>para</w:t>
      </w:r>
      <w:r w:rsidR="00B87391" w:rsidRPr="008F18AC">
        <w:rPr>
          <w:rFonts w:asciiTheme="majorBidi" w:hAnsiTheme="majorBidi" w:cstheme="majorBidi"/>
        </w:rPr>
        <w:t>-</w:t>
      </w:r>
      <w:proofErr w:type="spellStart"/>
      <w:r w:rsidR="00B87391" w:rsidRPr="008F18AC">
        <w:rPr>
          <w:rFonts w:asciiTheme="majorBidi" w:hAnsiTheme="majorBidi" w:cstheme="majorBidi"/>
        </w:rPr>
        <w:t>hydroxybenzoïque</w:t>
      </w:r>
      <w:proofErr w:type="spellEnd"/>
      <w:r w:rsidR="007761DB" w:rsidRPr="008F18AC">
        <w:rPr>
          <w:rFonts w:asciiTheme="majorBidi" w:hAnsiTheme="majorBidi" w:cstheme="majorBidi"/>
        </w:rPr>
        <w:t xml:space="preserve"> dans ces racines,  malgré l’abondance de ce composé</w:t>
      </w:r>
      <w:r w:rsidR="00995994" w:rsidRPr="008F18AC">
        <w:rPr>
          <w:rFonts w:asciiTheme="majorBidi" w:hAnsiTheme="majorBidi" w:cstheme="majorBidi"/>
        </w:rPr>
        <w:t xml:space="preserve"> antifongique</w:t>
      </w:r>
      <w:r w:rsidR="007761DB" w:rsidRPr="008F18AC">
        <w:rPr>
          <w:rFonts w:asciiTheme="majorBidi" w:hAnsiTheme="majorBidi" w:cstheme="majorBidi"/>
        </w:rPr>
        <w:t>, l’agent pathogène pénètre dans la racine en franchissant les barrières physiques constitutives et se développe ainsi dans la plante. Suite à ces nouvelles approches, il est intéressant d’envisager l’application de manière artificielle, de stimulateurs de défenses naturelles, en fournissant à l’hôte sensible les</w:t>
      </w:r>
      <w:r w:rsidR="007761DB" w:rsidRPr="008F18AC">
        <w:rPr>
          <w:rFonts w:asciiTheme="majorBidi" w:hAnsiTheme="majorBidi" w:cstheme="majorBidi"/>
          <w:color w:val="000000"/>
        </w:rPr>
        <w:t xml:space="preserve"> substances pouvant induire à son niveau, les mécanismes de défenses qu’il est incapable de produire vis-à-vis de son agent pathogène.</w:t>
      </w:r>
      <w:r w:rsidR="007761DB" w:rsidRPr="008F18AC">
        <w:rPr>
          <w:rFonts w:asciiTheme="majorBidi" w:hAnsiTheme="majorBidi" w:cstheme="majorBidi"/>
        </w:rPr>
        <w:t xml:space="preserve">      </w:t>
      </w:r>
    </w:p>
    <w:p w:rsidR="007761DB" w:rsidRPr="008F18AC" w:rsidRDefault="007761DB" w:rsidP="007761DB">
      <w:pPr>
        <w:autoSpaceDE w:val="0"/>
        <w:autoSpaceDN w:val="0"/>
        <w:adjustRightInd w:val="0"/>
        <w:spacing w:after="0" w:line="240" w:lineRule="auto"/>
        <w:jc w:val="both"/>
        <w:rPr>
          <w:rFonts w:asciiTheme="majorBidi" w:hAnsiTheme="majorBidi" w:cstheme="majorBidi"/>
          <w:sz w:val="24"/>
          <w:szCs w:val="24"/>
        </w:rPr>
      </w:pPr>
    </w:p>
    <w:p w:rsidR="007761DB" w:rsidRPr="008F18AC" w:rsidRDefault="007761DB" w:rsidP="007761DB">
      <w:pPr>
        <w:autoSpaceDE w:val="0"/>
        <w:autoSpaceDN w:val="0"/>
        <w:adjustRightInd w:val="0"/>
        <w:spacing w:after="0" w:line="240" w:lineRule="auto"/>
        <w:jc w:val="both"/>
        <w:rPr>
          <w:rFonts w:asciiTheme="majorBidi" w:hAnsiTheme="majorBidi" w:cstheme="majorBidi"/>
          <w:sz w:val="24"/>
          <w:szCs w:val="24"/>
        </w:rPr>
      </w:pPr>
      <w:r w:rsidRPr="008F18AC">
        <w:rPr>
          <w:rFonts w:asciiTheme="majorBidi" w:hAnsiTheme="majorBidi" w:cstheme="majorBidi"/>
          <w:b/>
          <w:sz w:val="24"/>
          <w:szCs w:val="24"/>
        </w:rPr>
        <w:t>Mots clés :</w:t>
      </w:r>
      <w:r w:rsidRPr="008F18AC">
        <w:rPr>
          <w:rFonts w:asciiTheme="majorBidi" w:hAnsiTheme="majorBidi" w:cstheme="majorBidi"/>
          <w:sz w:val="24"/>
          <w:szCs w:val="24"/>
        </w:rPr>
        <w:t xml:space="preserve"> Palmier dattier, </w:t>
      </w:r>
      <w:proofErr w:type="spellStart"/>
      <w:r w:rsidRPr="008F18AC">
        <w:rPr>
          <w:rFonts w:asciiTheme="majorBidi" w:hAnsiTheme="majorBidi" w:cstheme="majorBidi"/>
          <w:i/>
          <w:sz w:val="24"/>
          <w:szCs w:val="24"/>
        </w:rPr>
        <w:t>Fusarium</w:t>
      </w:r>
      <w:proofErr w:type="spellEnd"/>
      <w:r w:rsidRPr="008F18AC">
        <w:rPr>
          <w:rFonts w:asciiTheme="majorBidi" w:hAnsiTheme="majorBidi" w:cstheme="majorBidi"/>
          <w:i/>
          <w:sz w:val="24"/>
          <w:szCs w:val="24"/>
        </w:rPr>
        <w:t xml:space="preserve"> </w:t>
      </w:r>
      <w:proofErr w:type="spellStart"/>
      <w:r w:rsidRPr="008F18AC">
        <w:rPr>
          <w:rFonts w:asciiTheme="majorBidi" w:hAnsiTheme="majorBidi" w:cstheme="majorBidi"/>
          <w:i/>
          <w:sz w:val="24"/>
          <w:szCs w:val="24"/>
        </w:rPr>
        <w:t>oxysporum</w:t>
      </w:r>
      <w:proofErr w:type="spellEnd"/>
      <w:r w:rsidRPr="008F18AC">
        <w:rPr>
          <w:rFonts w:asciiTheme="majorBidi" w:hAnsiTheme="majorBidi" w:cstheme="majorBidi"/>
          <w:sz w:val="24"/>
          <w:szCs w:val="24"/>
        </w:rPr>
        <w:t xml:space="preserve"> f.</w:t>
      </w:r>
      <w:r w:rsidR="00716282" w:rsidRPr="008F18AC">
        <w:rPr>
          <w:rFonts w:asciiTheme="majorBidi" w:hAnsiTheme="majorBidi" w:cstheme="majorBidi"/>
          <w:sz w:val="24"/>
          <w:szCs w:val="24"/>
        </w:rPr>
        <w:t xml:space="preserve"> </w:t>
      </w:r>
      <w:proofErr w:type="spellStart"/>
      <w:r w:rsidRPr="008F18AC">
        <w:rPr>
          <w:rFonts w:asciiTheme="majorBidi" w:hAnsiTheme="majorBidi" w:cstheme="majorBidi"/>
          <w:sz w:val="24"/>
          <w:szCs w:val="24"/>
        </w:rPr>
        <w:t>sp</w:t>
      </w:r>
      <w:proofErr w:type="spellEnd"/>
      <w:r w:rsidRPr="008F18AC">
        <w:rPr>
          <w:rFonts w:asciiTheme="majorBidi" w:hAnsiTheme="majorBidi" w:cstheme="majorBidi"/>
          <w:sz w:val="24"/>
          <w:szCs w:val="24"/>
        </w:rPr>
        <w:t xml:space="preserve">. </w:t>
      </w:r>
      <w:proofErr w:type="spellStart"/>
      <w:proofErr w:type="gramStart"/>
      <w:r w:rsidRPr="008F18AC">
        <w:rPr>
          <w:rFonts w:asciiTheme="majorBidi" w:hAnsiTheme="majorBidi" w:cstheme="majorBidi"/>
          <w:i/>
          <w:sz w:val="24"/>
          <w:szCs w:val="24"/>
        </w:rPr>
        <w:t>albedinis</w:t>
      </w:r>
      <w:proofErr w:type="spellEnd"/>
      <w:proofErr w:type="gramEnd"/>
      <w:r w:rsidRPr="008F18AC">
        <w:rPr>
          <w:rFonts w:asciiTheme="majorBidi" w:hAnsiTheme="majorBidi" w:cstheme="majorBidi"/>
          <w:sz w:val="24"/>
          <w:szCs w:val="24"/>
        </w:rPr>
        <w:t>, interactions, lipi</w:t>
      </w:r>
      <w:r w:rsidR="00B87391" w:rsidRPr="008F18AC">
        <w:rPr>
          <w:rFonts w:asciiTheme="majorBidi" w:hAnsiTheme="majorBidi" w:cstheme="majorBidi"/>
          <w:sz w:val="24"/>
          <w:szCs w:val="24"/>
        </w:rPr>
        <w:t xml:space="preserve">des, </w:t>
      </w:r>
      <w:proofErr w:type="spellStart"/>
      <w:r w:rsidR="00B87391" w:rsidRPr="008F18AC">
        <w:rPr>
          <w:rFonts w:asciiTheme="majorBidi" w:hAnsiTheme="majorBidi" w:cstheme="majorBidi"/>
          <w:sz w:val="24"/>
          <w:szCs w:val="24"/>
        </w:rPr>
        <w:t>phénylpropanoïdes</w:t>
      </w:r>
      <w:proofErr w:type="spellEnd"/>
      <w:r w:rsidR="00B87391" w:rsidRPr="008F18AC">
        <w:rPr>
          <w:rFonts w:asciiTheme="majorBidi" w:hAnsiTheme="majorBidi" w:cstheme="majorBidi"/>
          <w:sz w:val="24"/>
          <w:szCs w:val="24"/>
        </w:rPr>
        <w:t>, défense</w:t>
      </w:r>
      <w:r w:rsidRPr="008F18AC">
        <w:rPr>
          <w:rFonts w:asciiTheme="majorBidi" w:hAnsiTheme="majorBidi" w:cstheme="majorBidi"/>
          <w:sz w:val="24"/>
          <w:szCs w:val="24"/>
        </w:rPr>
        <w:t>.</w:t>
      </w:r>
    </w:p>
    <w:p w:rsidR="00131F51" w:rsidRPr="008F18AC" w:rsidRDefault="00131F51" w:rsidP="00131F51">
      <w:pPr>
        <w:tabs>
          <w:tab w:val="left" w:pos="284"/>
        </w:tabs>
        <w:spacing w:after="0" w:line="240" w:lineRule="auto"/>
        <w:rPr>
          <w:rFonts w:asciiTheme="majorBidi" w:hAnsiTheme="majorBidi" w:cstheme="majorBidi"/>
          <w:sz w:val="24"/>
          <w:szCs w:val="24"/>
        </w:rPr>
      </w:pPr>
    </w:p>
    <w:sectPr w:rsidR="00131F51" w:rsidRPr="008F18AC" w:rsidSect="0086501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Arial Narrow">
    <w:panose1 w:val="020B05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compat/>
  <w:rsids>
    <w:rsidRoot w:val="00AF0632"/>
    <w:rsid w:val="000776F5"/>
    <w:rsid w:val="00131F51"/>
    <w:rsid w:val="001D721A"/>
    <w:rsid w:val="00274CDC"/>
    <w:rsid w:val="002A61AF"/>
    <w:rsid w:val="003C0832"/>
    <w:rsid w:val="003D2DEA"/>
    <w:rsid w:val="004629AA"/>
    <w:rsid w:val="004642BF"/>
    <w:rsid w:val="004811B1"/>
    <w:rsid w:val="004938F0"/>
    <w:rsid w:val="00533C1F"/>
    <w:rsid w:val="005613C6"/>
    <w:rsid w:val="006A6C15"/>
    <w:rsid w:val="006C399D"/>
    <w:rsid w:val="006D4735"/>
    <w:rsid w:val="006E1E55"/>
    <w:rsid w:val="0070174C"/>
    <w:rsid w:val="00716282"/>
    <w:rsid w:val="00744A57"/>
    <w:rsid w:val="007761DB"/>
    <w:rsid w:val="007C4FC6"/>
    <w:rsid w:val="0080684E"/>
    <w:rsid w:val="00856C85"/>
    <w:rsid w:val="0086501F"/>
    <w:rsid w:val="00865C53"/>
    <w:rsid w:val="00874DD3"/>
    <w:rsid w:val="008800EF"/>
    <w:rsid w:val="008B28B5"/>
    <w:rsid w:val="008D31E7"/>
    <w:rsid w:val="008D6C13"/>
    <w:rsid w:val="008F18AC"/>
    <w:rsid w:val="00956301"/>
    <w:rsid w:val="00995994"/>
    <w:rsid w:val="009D4936"/>
    <w:rsid w:val="009F279C"/>
    <w:rsid w:val="00A17E74"/>
    <w:rsid w:val="00AE5014"/>
    <w:rsid w:val="00AF0632"/>
    <w:rsid w:val="00B53506"/>
    <w:rsid w:val="00B648DA"/>
    <w:rsid w:val="00B87391"/>
    <w:rsid w:val="00C25DE3"/>
    <w:rsid w:val="00D22EAD"/>
    <w:rsid w:val="00D26DF3"/>
    <w:rsid w:val="00D90558"/>
    <w:rsid w:val="00DD7A65"/>
    <w:rsid w:val="00DE0CD9"/>
    <w:rsid w:val="00DE70F4"/>
    <w:rsid w:val="00DF4BC8"/>
    <w:rsid w:val="00EC6994"/>
    <w:rsid w:val="00F97C3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colormenu v:ext="edit" strokecolor="#00206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501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648DA"/>
    <w:pPr>
      <w:spacing w:after="0" w:line="240" w:lineRule="auto"/>
      <w:ind w:left="708"/>
    </w:pPr>
    <w:rPr>
      <w:rFonts w:ascii="Times New Roman" w:eastAsia="Times New Roman" w:hAnsi="Times New Roman" w:cs="Times New Roman"/>
      <w:sz w:val="24"/>
      <w:szCs w:val="24"/>
      <w:lang w:eastAsia="fr-FR"/>
    </w:rPr>
  </w:style>
  <w:style w:type="paragraph" w:styleId="En-tte">
    <w:name w:val="header"/>
    <w:basedOn w:val="Normal"/>
    <w:link w:val="En-tteCar"/>
    <w:uiPriority w:val="99"/>
    <w:rsid w:val="00DF4BC8"/>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En-tteCar">
    <w:name w:val="En-tête Car"/>
    <w:basedOn w:val="Policepardfaut"/>
    <w:link w:val="En-tte"/>
    <w:uiPriority w:val="99"/>
    <w:rsid w:val="00DF4BC8"/>
    <w:rPr>
      <w:rFonts w:ascii="Times New Roman" w:eastAsia="Times New Roman" w:hAnsi="Times New Roman" w:cs="Times New Roman"/>
      <w:sz w:val="24"/>
      <w:szCs w:val="24"/>
      <w:lang w:eastAsia="fr-FR"/>
    </w:rPr>
  </w:style>
  <w:style w:type="paragraph" w:customStyle="1" w:styleId="Default">
    <w:name w:val="Default"/>
    <w:rsid w:val="00DF4BC8"/>
    <w:pPr>
      <w:autoSpaceDE w:val="0"/>
      <w:autoSpaceDN w:val="0"/>
      <w:adjustRightInd w:val="0"/>
      <w:spacing w:after="0" w:line="240" w:lineRule="auto"/>
    </w:pPr>
    <w:rPr>
      <w:rFonts w:ascii="Arial Narrow" w:eastAsia="Times New Roman" w:hAnsi="Arial Narrow" w:cs="Arial Narrow"/>
      <w:color w:val="000000"/>
      <w:sz w:val="24"/>
      <w:szCs w:val="24"/>
      <w:lang w:eastAsia="fr-FR"/>
    </w:rPr>
  </w:style>
  <w:style w:type="character" w:styleId="Lienhypertexte">
    <w:name w:val="Hyperlink"/>
    <w:basedOn w:val="Policepardfaut"/>
    <w:uiPriority w:val="99"/>
    <w:unhideWhenUsed/>
    <w:rsid w:val="008F18A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48952436">
      <w:bodyDiv w:val="1"/>
      <w:marLeft w:val="0"/>
      <w:marRight w:val="0"/>
      <w:marTop w:val="0"/>
      <w:marBottom w:val="0"/>
      <w:divBdr>
        <w:top w:val="none" w:sz="0" w:space="0" w:color="auto"/>
        <w:left w:val="none" w:sz="0" w:space="0" w:color="auto"/>
        <w:bottom w:val="none" w:sz="0" w:space="0" w:color="auto"/>
        <w:right w:val="none" w:sz="0" w:space="0" w:color="auto"/>
      </w:divBdr>
    </w:div>
    <w:div w:id="1240138692">
      <w:bodyDiv w:val="1"/>
      <w:marLeft w:val="0"/>
      <w:marRight w:val="0"/>
      <w:marTop w:val="0"/>
      <w:marBottom w:val="0"/>
      <w:divBdr>
        <w:top w:val="none" w:sz="0" w:space="0" w:color="auto"/>
        <w:left w:val="none" w:sz="0" w:space="0" w:color="auto"/>
        <w:bottom w:val="none" w:sz="0" w:space="0" w:color="auto"/>
        <w:right w:val="none" w:sz="0" w:space="0" w:color="auto"/>
      </w:divBdr>
    </w:div>
    <w:div w:id="1696881057">
      <w:bodyDiv w:val="1"/>
      <w:marLeft w:val="0"/>
      <w:marRight w:val="0"/>
      <w:marTop w:val="0"/>
      <w:marBottom w:val="0"/>
      <w:divBdr>
        <w:top w:val="none" w:sz="0" w:space="0" w:color="auto"/>
        <w:left w:val="none" w:sz="0" w:space="0" w:color="auto"/>
        <w:bottom w:val="none" w:sz="0" w:space="0" w:color="auto"/>
        <w:right w:val="none" w:sz="0" w:space="0" w:color="auto"/>
      </w:divBdr>
    </w:div>
    <w:div w:id="185068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aceb_terrak@yaho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TotalTime>
  <Pages>1</Pages>
  <Words>484</Words>
  <Characters>2668</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khaled</dc:creator>
  <cp:lastModifiedBy>Abderrezak</cp:lastModifiedBy>
  <cp:revision>24</cp:revision>
  <cp:lastPrinted>2010-03-25T16:36:00Z</cp:lastPrinted>
  <dcterms:created xsi:type="dcterms:W3CDTF">2010-03-06T07:39:00Z</dcterms:created>
  <dcterms:modified xsi:type="dcterms:W3CDTF">2010-12-20T11:05:00Z</dcterms:modified>
</cp:coreProperties>
</file>