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00000" w:rsidRPr="00D802F5" w:rsidRDefault="00985E0B">
      <w:pPr>
        <w:pStyle w:val="Style5"/>
        <w:widowControl/>
        <w:spacing w:line="240" w:lineRule="exact"/>
        <w:ind w:right="72"/>
        <w:jc w:val="center"/>
        <w:rPr>
          <w:rFonts w:asciiTheme="majorBidi" w:hAnsiTheme="majorBidi" w:cstheme="majorBidi"/>
          <w:sz w:val="32"/>
          <w:szCs w:val="32"/>
          <w:lang w:val="fr-FR"/>
        </w:rPr>
      </w:pPr>
    </w:p>
    <w:p w:rsidR="00000000" w:rsidRPr="00D802F5" w:rsidRDefault="00985E0B">
      <w:pPr>
        <w:pStyle w:val="Style5"/>
        <w:widowControl/>
        <w:spacing w:line="240" w:lineRule="exact"/>
        <w:ind w:right="72"/>
        <w:jc w:val="center"/>
        <w:rPr>
          <w:rFonts w:asciiTheme="majorBidi" w:hAnsiTheme="majorBidi" w:cstheme="majorBidi"/>
          <w:sz w:val="32"/>
          <w:szCs w:val="32"/>
          <w:lang w:val="fr-FR"/>
        </w:rPr>
      </w:pPr>
    </w:p>
    <w:p w:rsidR="0054302A" w:rsidRDefault="0054302A">
      <w:pPr>
        <w:pStyle w:val="Style5"/>
        <w:widowControl/>
        <w:spacing w:before="168"/>
        <w:ind w:right="72"/>
        <w:jc w:val="center"/>
        <w:rPr>
          <w:rStyle w:val="FontStyle17"/>
          <w:rFonts w:asciiTheme="majorBidi" w:hAnsiTheme="majorBidi" w:cstheme="majorBidi"/>
          <w:b/>
          <w:bCs/>
          <w:i w:val="0"/>
          <w:iCs w:val="0"/>
          <w:sz w:val="32"/>
          <w:szCs w:val="32"/>
          <w:u w:val="single"/>
          <w:lang w:val="fr-FR" w:eastAsia="fr-FR"/>
        </w:rPr>
      </w:pPr>
    </w:p>
    <w:p w:rsidR="00000000" w:rsidRPr="0054302A" w:rsidRDefault="00985E0B" w:rsidP="0054302A">
      <w:pPr>
        <w:pStyle w:val="Style5"/>
        <w:widowControl/>
        <w:spacing w:before="168"/>
        <w:ind w:right="72"/>
        <w:rPr>
          <w:rStyle w:val="FontStyle17"/>
          <w:rFonts w:asciiTheme="majorBidi" w:hAnsiTheme="majorBidi" w:cstheme="majorBidi"/>
          <w:b/>
          <w:bCs/>
          <w:i w:val="0"/>
          <w:iCs w:val="0"/>
          <w:sz w:val="32"/>
          <w:szCs w:val="32"/>
          <w:u w:val="single"/>
          <w:lang w:val="fr-FR" w:eastAsia="fr-FR"/>
        </w:rPr>
      </w:pPr>
      <w:r w:rsidRPr="0054302A">
        <w:rPr>
          <w:rStyle w:val="FontStyle17"/>
          <w:rFonts w:asciiTheme="majorBidi" w:hAnsiTheme="majorBidi" w:cstheme="majorBidi"/>
          <w:b/>
          <w:bCs/>
          <w:i w:val="0"/>
          <w:iCs w:val="0"/>
          <w:sz w:val="32"/>
          <w:szCs w:val="32"/>
          <w:u w:val="single"/>
          <w:lang w:val="fr-FR" w:eastAsia="fr-FR"/>
        </w:rPr>
        <w:t>R</w:t>
      </w:r>
      <w:r w:rsidRPr="0054302A">
        <w:rPr>
          <w:rStyle w:val="FontStyle17"/>
          <w:rFonts w:asciiTheme="majorBidi" w:hAnsiTheme="majorBidi" w:cstheme="majorBidi"/>
          <w:b/>
          <w:bCs/>
          <w:i w:val="0"/>
          <w:iCs w:val="0"/>
          <w:sz w:val="32"/>
          <w:szCs w:val="32"/>
          <w:u w:val="single"/>
          <w:lang w:val="fr-FR" w:eastAsia="fr-FR"/>
        </w:rPr>
        <w:t>é</w:t>
      </w:r>
      <w:r w:rsidRPr="0054302A">
        <w:rPr>
          <w:rStyle w:val="FontStyle17"/>
          <w:rFonts w:asciiTheme="majorBidi" w:hAnsiTheme="majorBidi" w:cstheme="majorBidi"/>
          <w:b/>
          <w:bCs/>
          <w:i w:val="0"/>
          <w:iCs w:val="0"/>
          <w:sz w:val="32"/>
          <w:szCs w:val="32"/>
          <w:u w:val="single"/>
          <w:lang w:val="fr-FR" w:eastAsia="fr-FR"/>
        </w:rPr>
        <w:t>sum</w:t>
      </w:r>
      <w:r w:rsidRPr="0054302A">
        <w:rPr>
          <w:rStyle w:val="FontStyle17"/>
          <w:rFonts w:asciiTheme="majorBidi" w:hAnsiTheme="majorBidi" w:cstheme="majorBidi"/>
          <w:b/>
          <w:bCs/>
          <w:i w:val="0"/>
          <w:iCs w:val="0"/>
          <w:sz w:val="32"/>
          <w:szCs w:val="32"/>
          <w:u w:val="single"/>
          <w:lang w:val="fr-FR" w:eastAsia="fr-FR"/>
        </w:rPr>
        <w:t>é</w:t>
      </w:r>
      <w:r w:rsidR="0054302A">
        <w:rPr>
          <w:rStyle w:val="FontStyle17"/>
          <w:rFonts w:asciiTheme="majorBidi" w:hAnsiTheme="majorBidi" w:cstheme="majorBidi"/>
          <w:b/>
          <w:bCs/>
          <w:i w:val="0"/>
          <w:iCs w:val="0"/>
          <w:sz w:val="32"/>
          <w:szCs w:val="32"/>
          <w:u w:val="single"/>
          <w:lang w:val="fr-FR" w:eastAsia="fr-FR"/>
        </w:rPr>
        <w:t>:</w:t>
      </w:r>
    </w:p>
    <w:p w:rsidR="00000000" w:rsidRPr="00D802F5" w:rsidRDefault="00985E0B">
      <w:pPr>
        <w:pStyle w:val="Style6"/>
        <w:widowControl/>
        <w:spacing w:line="240" w:lineRule="exact"/>
        <w:ind w:right="43"/>
        <w:rPr>
          <w:rFonts w:asciiTheme="majorBidi" w:hAnsiTheme="majorBidi" w:cstheme="majorBidi"/>
          <w:sz w:val="32"/>
          <w:szCs w:val="32"/>
          <w:lang w:val="fr-FR"/>
        </w:rPr>
      </w:pPr>
    </w:p>
    <w:p w:rsidR="00000000" w:rsidRPr="00D802F5" w:rsidRDefault="00D802F5" w:rsidP="00D802F5">
      <w:pPr>
        <w:pStyle w:val="Style6"/>
        <w:widowControl/>
        <w:spacing w:before="101" w:line="360" w:lineRule="auto"/>
        <w:ind w:right="43"/>
        <w:rPr>
          <w:rStyle w:val="FontStyle16"/>
          <w:rFonts w:asciiTheme="majorBidi" w:hAnsiTheme="majorBidi" w:cstheme="majorBidi"/>
          <w:lang w:val="fr-FR" w:eastAsia="fr-FR"/>
        </w:rPr>
      </w:pPr>
      <w:r w:rsidRPr="00D802F5">
        <w:rPr>
          <w:rStyle w:val="FontStyle15"/>
          <w:rFonts w:asciiTheme="majorBidi" w:hAnsiTheme="majorBidi" w:cstheme="majorBidi"/>
          <w:b w:val="0"/>
          <w:bCs w:val="0"/>
          <w:sz w:val="24"/>
          <w:szCs w:val="24"/>
          <w:lang w:val="fr-FR" w:eastAsia="fr-FR"/>
        </w:rPr>
        <w:t>une</w:t>
      </w:r>
      <w:r w:rsidR="00985E0B" w:rsidRPr="00D802F5">
        <w:rPr>
          <w:rStyle w:val="FontStyle15"/>
          <w:rFonts w:asciiTheme="majorBidi" w:hAnsiTheme="majorBidi" w:cstheme="majorBidi"/>
          <w:b w:val="0"/>
          <w:bCs w:val="0"/>
          <w:sz w:val="24"/>
          <w:szCs w:val="24"/>
          <w:lang w:val="fr-FR" w:eastAsia="fr-FR"/>
        </w:rPr>
        <w:t xml:space="preserve"> </w:t>
      </w:r>
      <w:r w:rsidR="00985E0B" w:rsidRPr="00D802F5">
        <w:rPr>
          <w:rStyle w:val="FontStyle16"/>
          <w:rFonts w:asciiTheme="majorBidi" w:hAnsiTheme="majorBidi" w:cstheme="majorBidi"/>
          <w:lang w:val="fr-FR" w:eastAsia="fr-FR"/>
        </w:rPr>
        <w:t>étude paramétrique est entreprise afin de déterminer les conditions opti</w:t>
      </w:r>
      <w:r w:rsidR="00985E0B" w:rsidRPr="00D802F5">
        <w:rPr>
          <w:rStyle w:val="FontStyle16"/>
          <w:rFonts w:asciiTheme="majorBidi" w:hAnsiTheme="majorBidi" w:cstheme="majorBidi"/>
          <w:lang w:val="fr-FR" w:eastAsia="fr-FR"/>
        </w:rPr>
        <w:t>males d'un système de filtration radial par centrifugation au moyen d'une cloison poreuse. Une analyse détaillée est menée sur les structures d'écoulements et les transferts couplés de chaleur et de soluté pour les trois modes de convection (naturelle, for</w:t>
      </w:r>
      <w:r w:rsidR="00985E0B" w:rsidRPr="00D802F5">
        <w:rPr>
          <w:rStyle w:val="FontStyle16"/>
          <w:rFonts w:asciiTheme="majorBidi" w:hAnsiTheme="majorBidi" w:cstheme="majorBidi"/>
          <w:lang w:val="fr-FR" w:eastAsia="fr-FR"/>
        </w:rPr>
        <w:t>cée et mixte) d'un fluide remplissant une cavité annulaire disposée verticalement, délimitée par deux cylindres coaxiaux.</w:t>
      </w:r>
    </w:p>
    <w:p w:rsidR="0054302A" w:rsidRDefault="0054302A" w:rsidP="00D802F5">
      <w:pPr>
        <w:pStyle w:val="Style6"/>
        <w:widowControl/>
        <w:spacing w:line="360" w:lineRule="auto"/>
        <w:ind w:firstLine="274"/>
        <w:rPr>
          <w:rStyle w:val="FontStyle16"/>
          <w:rFonts w:asciiTheme="majorBidi" w:hAnsiTheme="majorBidi" w:cstheme="majorBidi"/>
          <w:lang w:val="fr-FR" w:eastAsia="fr-FR"/>
        </w:rPr>
      </w:pPr>
    </w:p>
    <w:p w:rsidR="00000000" w:rsidRPr="00D802F5" w:rsidRDefault="00985E0B" w:rsidP="00D802F5">
      <w:pPr>
        <w:pStyle w:val="Style6"/>
        <w:widowControl/>
        <w:spacing w:line="360" w:lineRule="auto"/>
        <w:ind w:firstLine="274"/>
        <w:rPr>
          <w:rStyle w:val="FontStyle16"/>
          <w:rFonts w:asciiTheme="majorBidi" w:hAnsiTheme="majorBidi" w:cstheme="majorBidi"/>
          <w:lang w:val="fr-FR" w:eastAsia="fr-FR"/>
        </w:rPr>
      </w:pPr>
      <w:r w:rsidRPr="00D802F5">
        <w:rPr>
          <w:rStyle w:val="FontStyle16"/>
          <w:rFonts w:asciiTheme="majorBidi" w:hAnsiTheme="majorBidi" w:cstheme="majorBidi"/>
          <w:lang w:val="fr-FR" w:eastAsia="fr-FR"/>
        </w:rPr>
        <w:t xml:space="preserve">La première partie de ce travail consiste à analyser les effets couplés des forces d'inertie et des poussées d'Archimède sur </w:t>
      </w:r>
      <w:r w:rsidRPr="00D802F5">
        <w:rPr>
          <w:rStyle w:val="FontStyle15"/>
          <w:rFonts w:asciiTheme="majorBidi" w:hAnsiTheme="majorBidi" w:cstheme="majorBidi"/>
          <w:b w:val="0"/>
          <w:bCs w:val="0"/>
          <w:sz w:val="24"/>
          <w:szCs w:val="24"/>
          <w:lang w:val="fr-FR" w:eastAsia="fr-FR"/>
        </w:rPr>
        <w:t xml:space="preserve">le </w:t>
      </w:r>
      <w:r w:rsidRPr="00D802F5">
        <w:rPr>
          <w:rStyle w:val="FontStyle16"/>
          <w:rFonts w:asciiTheme="majorBidi" w:hAnsiTheme="majorBidi" w:cstheme="majorBidi"/>
          <w:lang w:val="fr-FR" w:eastAsia="fr-FR"/>
        </w:rPr>
        <w:t xml:space="preserve">champ dynamique </w:t>
      </w:r>
      <w:r w:rsidRPr="00D802F5">
        <w:rPr>
          <w:rStyle w:val="FontStyle15"/>
          <w:rFonts w:asciiTheme="majorBidi" w:hAnsiTheme="majorBidi" w:cstheme="majorBidi"/>
          <w:b w:val="0"/>
          <w:bCs w:val="0"/>
          <w:sz w:val="24"/>
          <w:szCs w:val="24"/>
          <w:lang w:val="fr-FR" w:eastAsia="fr-FR"/>
        </w:rPr>
        <w:t xml:space="preserve">et </w:t>
      </w:r>
      <w:r w:rsidRPr="00D802F5">
        <w:rPr>
          <w:rStyle w:val="FontStyle16"/>
          <w:rFonts w:asciiTheme="majorBidi" w:hAnsiTheme="majorBidi" w:cstheme="majorBidi"/>
          <w:lang w:val="fr-FR" w:eastAsia="fr-FR"/>
        </w:rPr>
        <w:t xml:space="preserve">le transfert thermosolutal. L'étude a été menée afin de quantifier les effets des groupements adimensionnels gouvernants </w:t>
      </w:r>
      <w:r w:rsidRPr="00D802F5">
        <w:rPr>
          <w:rStyle w:val="FontStyle15"/>
          <w:rFonts w:asciiTheme="majorBidi" w:hAnsiTheme="majorBidi" w:cstheme="majorBidi"/>
          <w:b w:val="0"/>
          <w:bCs w:val="0"/>
          <w:sz w:val="24"/>
          <w:szCs w:val="24"/>
          <w:lang w:val="fr-FR" w:eastAsia="fr-FR"/>
        </w:rPr>
        <w:t xml:space="preserve">le </w:t>
      </w:r>
      <w:r w:rsidRPr="00D802F5">
        <w:rPr>
          <w:rStyle w:val="FontStyle16"/>
          <w:rFonts w:asciiTheme="majorBidi" w:hAnsiTheme="majorBidi" w:cstheme="majorBidi"/>
          <w:lang w:val="fr-FR" w:eastAsia="fr-FR"/>
        </w:rPr>
        <w:t xml:space="preserve">système. L'accent est mis sur l'influence de </w:t>
      </w:r>
      <w:r w:rsidRPr="00D802F5">
        <w:rPr>
          <w:rStyle w:val="FontStyle15"/>
          <w:rFonts w:asciiTheme="majorBidi" w:hAnsiTheme="majorBidi" w:cstheme="majorBidi"/>
          <w:b w:val="0"/>
          <w:bCs w:val="0"/>
          <w:sz w:val="24"/>
          <w:szCs w:val="24"/>
          <w:lang w:val="fr-FR" w:eastAsia="fr-FR"/>
        </w:rPr>
        <w:t xml:space="preserve">la </w:t>
      </w:r>
      <w:r w:rsidRPr="00D802F5">
        <w:rPr>
          <w:rStyle w:val="FontStyle16"/>
          <w:rFonts w:asciiTheme="majorBidi" w:hAnsiTheme="majorBidi" w:cstheme="majorBidi"/>
          <w:lang w:val="fr-FR" w:eastAsia="fr-FR"/>
        </w:rPr>
        <w:t xml:space="preserve">rotation du cylindre interne à travers le nombre </w:t>
      </w:r>
      <w:r w:rsidRPr="00D802F5">
        <w:rPr>
          <w:rStyle w:val="FontStyle15"/>
          <w:rFonts w:asciiTheme="majorBidi" w:hAnsiTheme="majorBidi" w:cstheme="majorBidi"/>
          <w:b w:val="0"/>
          <w:bCs w:val="0"/>
          <w:sz w:val="24"/>
          <w:szCs w:val="24"/>
          <w:lang w:val="fr-FR" w:eastAsia="fr-FR"/>
        </w:rPr>
        <w:t xml:space="preserve">de </w:t>
      </w:r>
      <w:r w:rsidRPr="00D802F5">
        <w:rPr>
          <w:rStyle w:val="FontStyle16"/>
          <w:rFonts w:asciiTheme="majorBidi" w:hAnsiTheme="majorBidi" w:cstheme="majorBidi"/>
          <w:lang w:val="fr-FR" w:eastAsia="fr-FR"/>
        </w:rPr>
        <w:t>Reynolds et s</w:t>
      </w:r>
      <w:r w:rsidRPr="00D802F5">
        <w:rPr>
          <w:rStyle w:val="FontStyle16"/>
          <w:rFonts w:asciiTheme="majorBidi" w:hAnsiTheme="majorBidi" w:cstheme="majorBidi"/>
          <w:lang w:val="fr-FR" w:eastAsia="fr-FR"/>
        </w:rPr>
        <w:t xml:space="preserve">ur </w:t>
      </w:r>
      <w:r w:rsidRPr="00D802F5">
        <w:rPr>
          <w:rStyle w:val="FontStyle15"/>
          <w:rFonts w:asciiTheme="majorBidi" w:hAnsiTheme="majorBidi" w:cstheme="majorBidi"/>
          <w:b w:val="0"/>
          <w:bCs w:val="0"/>
          <w:sz w:val="24"/>
          <w:szCs w:val="24"/>
          <w:lang w:val="fr-FR" w:eastAsia="fr-FR"/>
        </w:rPr>
        <w:t>l</w:t>
      </w:r>
      <w:r w:rsidRPr="00D802F5">
        <w:rPr>
          <w:rStyle w:val="FontStyle16"/>
          <w:rFonts w:asciiTheme="majorBidi" w:hAnsiTheme="majorBidi" w:cstheme="majorBidi"/>
          <w:lang w:val="fr-FR" w:eastAsia="fr-FR"/>
        </w:rPr>
        <w:t xml:space="preserve">'effet des gradients horizontaux de température et de concentration, imposés entre les parois verticales de </w:t>
      </w:r>
      <w:r w:rsidRPr="00D802F5">
        <w:rPr>
          <w:rStyle w:val="FontStyle15"/>
          <w:rFonts w:asciiTheme="majorBidi" w:hAnsiTheme="majorBidi" w:cstheme="majorBidi"/>
          <w:b w:val="0"/>
          <w:bCs w:val="0"/>
          <w:sz w:val="24"/>
          <w:szCs w:val="24"/>
          <w:lang w:val="fr-FR" w:eastAsia="fr-FR"/>
        </w:rPr>
        <w:t>l</w:t>
      </w:r>
      <w:r w:rsidRPr="00D802F5">
        <w:rPr>
          <w:rStyle w:val="FontStyle16"/>
          <w:rFonts w:asciiTheme="majorBidi" w:hAnsiTheme="majorBidi" w:cstheme="majorBidi"/>
          <w:lang w:val="fr-FR" w:eastAsia="fr-FR"/>
        </w:rPr>
        <w:t xml:space="preserve">'enceinte. Ces effets de convection naturelle sont exprimés par le nombre de Rayleigh thermique et le rapport des forces </w:t>
      </w:r>
      <w:r w:rsidRPr="00D802F5">
        <w:rPr>
          <w:rStyle w:val="FontStyle15"/>
          <w:rFonts w:asciiTheme="majorBidi" w:hAnsiTheme="majorBidi" w:cstheme="majorBidi"/>
          <w:b w:val="0"/>
          <w:bCs w:val="0"/>
          <w:sz w:val="24"/>
          <w:szCs w:val="24"/>
          <w:lang w:val="fr-FR" w:eastAsia="fr-FR"/>
        </w:rPr>
        <w:t xml:space="preserve">de </w:t>
      </w:r>
      <w:r w:rsidRPr="00D802F5">
        <w:rPr>
          <w:rStyle w:val="FontStyle16"/>
          <w:rFonts w:asciiTheme="majorBidi" w:hAnsiTheme="majorBidi" w:cstheme="majorBidi"/>
          <w:lang w:val="fr-FR" w:eastAsia="fr-FR"/>
        </w:rPr>
        <w:t>poussées combinées.</w:t>
      </w:r>
      <w:r w:rsidRPr="00D802F5">
        <w:rPr>
          <w:rStyle w:val="FontStyle16"/>
          <w:rFonts w:asciiTheme="majorBidi" w:hAnsiTheme="majorBidi" w:cstheme="majorBidi"/>
          <w:lang w:val="fr-FR" w:eastAsia="fr-FR"/>
        </w:rPr>
        <w:t xml:space="preserve"> On montre ainsi que la rotation favorise les échanges thermique et massique, sauf quand celle-ci est faible et </w:t>
      </w:r>
      <w:r w:rsidRPr="00D802F5">
        <w:rPr>
          <w:rStyle w:val="FontStyle15"/>
          <w:rFonts w:asciiTheme="majorBidi" w:hAnsiTheme="majorBidi" w:cstheme="majorBidi"/>
          <w:b w:val="0"/>
          <w:bCs w:val="0"/>
          <w:sz w:val="24"/>
          <w:szCs w:val="24"/>
          <w:lang w:val="fr-FR" w:eastAsia="fr-FR"/>
        </w:rPr>
        <w:t xml:space="preserve">en </w:t>
      </w:r>
      <w:r w:rsidRPr="00D802F5">
        <w:rPr>
          <w:rStyle w:val="FontStyle16"/>
          <w:rFonts w:asciiTheme="majorBidi" w:hAnsiTheme="majorBidi" w:cstheme="majorBidi"/>
          <w:lang w:val="fr-FR" w:eastAsia="fr-FR"/>
        </w:rPr>
        <w:t>présence des forces de gravité. La force centrifuge et la force d'Archimède ont, dans ce cas, des effets inverses.</w:t>
      </w:r>
    </w:p>
    <w:p w:rsidR="0054302A" w:rsidRDefault="0054302A" w:rsidP="00D802F5">
      <w:pPr>
        <w:pStyle w:val="Style6"/>
        <w:widowControl/>
        <w:spacing w:line="360" w:lineRule="auto"/>
        <w:rPr>
          <w:rStyle w:val="FontStyle16"/>
          <w:rFonts w:asciiTheme="majorBidi" w:hAnsiTheme="majorBidi" w:cstheme="majorBidi"/>
          <w:lang w:val="fr-FR" w:eastAsia="fr-FR"/>
        </w:rPr>
      </w:pPr>
    </w:p>
    <w:p w:rsidR="00000000" w:rsidRPr="00D802F5" w:rsidRDefault="00985E0B" w:rsidP="00D802F5">
      <w:pPr>
        <w:pStyle w:val="Style6"/>
        <w:widowControl/>
        <w:spacing w:line="360" w:lineRule="auto"/>
        <w:rPr>
          <w:rStyle w:val="FontStyle16"/>
          <w:rFonts w:asciiTheme="majorBidi" w:hAnsiTheme="majorBidi" w:cstheme="majorBidi"/>
          <w:lang w:val="fr-FR" w:eastAsia="fr-FR"/>
        </w:rPr>
      </w:pPr>
      <w:r w:rsidRPr="00D802F5">
        <w:rPr>
          <w:rStyle w:val="FontStyle16"/>
          <w:rFonts w:asciiTheme="majorBidi" w:hAnsiTheme="majorBidi" w:cstheme="majorBidi"/>
          <w:lang w:val="fr-FR" w:eastAsia="fr-FR"/>
        </w:rPr>
        <w:t xml:space="preserve">En second lieu, nous nous </w:t>
      </w:r>
      <w:r w:rsidRPr="00D802F5">
        <w:rPr>
          <w:rStyle w:val="FontStyle16"/>
          <w:rFonts w:asciiTheme="majorBidi" w:hAnsiTheme="majorBidi" w:cstheme="majorBidi"/>
          <w:lang w:val="fr-FR" w:eastAsia="fr-FR"/>
        </w:rPr>
        <w:t>intéressons à l'effet de l'insertion d'une couche poreuse au sein de l'espace annulaire. Les effets des paramètres géométriques et thermo-physiques sont résumés et commentés. Dans ce cas nous avons montré, entre autres, que les champs thermique et massique</w:t>
      </w:r>
      <w:r w:rsidRPr="00D802F5">
        <w:rPr>
          <w:rStyle w:val="FontStyle16"/>
          <w:rFonts w:asciiTheme="majorBidi" w:hAnsiTheme="majorBidi" w:cstheme="majorBidi"/>
          <w:lang w:val="fr-FR" w:eastAsia="fr-FR"/>
        </w:rPr>
        <w:t xml:space="preserve"> sont dissociés dans la matrice poreuse, à cause de la différence des supports de transfert et cela même pour un nombre de Lewis u</w:t>
      </w:r>
      <w:r w:rsidR="00D802F5" w:rsidRPr="00D802F5">
        <w:rPr>
          <w:rStyle w:val="FontStyle16"/>
          <w:rFonts w:asciiTheme="majorBidi" w:hAnsiTheme="majorBidi" w:cstheme="majorBidi"/>
          <w:lang w:val="fr-FR" w:eastAsia="fr-FR"/>
        </w:rPr>
        <w:t>ni</w:t>
      </w:r>
      <w:r w:rsidRPr="00D802F5">
        <w:rPr>
          <w:rStyle w:val="FontStyle16"/>
          <w:rFonts w:asciiTheme="majorBidi" w:hAnsiTheme="majorBidi" w:cstheme="majorBidi"/>
          <w:lang w:val="fr-FR" w:eastAsia="fr-FR"/>
        </w:rPr>
        <w:t>taire sensé garantir la similitude des deux transferts en milieu fluide. L'augmentation de la conductivité thermique du filtr</w:t>
      </w:r>
      <w:r w:rsidRPr="00D802F5">
        <w:rPr>
          <w:rStyle w:val="FontStyle16"/>
          <w:rFonts w:asciiTheme="majorBidi" w:hAnsiTheme="majorBidi" w:cstheme="majorBidi"/>
          <w:lang w:val="fr-FR" w:eastAsia="fr-FR"/>
        </w:rPr>
        <w:t xml:space="preserve">e réduit le transfert de chaleur global en convection naturelle pour une matrice poreuse perméable alors qu'elle n'influence nullement le transfert de soluté. D'autre part, nous avons montré l'existence d'une épaisseur critique à laquelle les coefficients </w:t>
      </w:r>
      <w:r w:rsidRPr="00D802F5">
        <w:rPr>
          <w:rStyle w:val="FontStyle16"/>
          <w:rFonts w:asciiTheme="majorBidi" w:hAnsiTheme="majorBidi" w:cstheme="majorBidi"/>
          <w:lang w:val="fr-FR" w:eastAsia="fr-FR"/>
        </w:rPr>
        <w:t>de transfert sont minimaux pour les trois modes de convection. De même, les performances du filtre sont nettement améliorées s'il est très proche du cylindre tournant sans pour autant le fixer à cette paroi.</w:t>
      </w:r>
    </w:p>
    <w:p w:rsidR="0054302A" w:rsidRDefault="0054302A" w:rsidP="00D802F5">
      <w:pPr>
        <w:pStyle w:val="Style7"/>
        <w:widowControl/>
        <w:spacing w:line="360" w:lineRule="auto"/>
        <w:jc w:val="both"/>
        <w:rPr>
          <w:rStyle w:val="FontStyle16"/>
          <w:rFonts w:asciiTheme="majorBidi" w:hAnsiTheme="majorBidi" w:cstheme="majorBidi"/>
          <w:lang w:val="fr-FR" w:eastAsia="fr-FR"/>
        </w:rPr>
      </w:pPr>
    </w:p>
    <w:p w:rsidR="00985E0B" w:rsidRPr="00D802F5" w:rsidRDefault="0054302A" w:rsidP="0054302A">
      <w:pPr>
        <w:pStyle w:val="Style7"/>
        <w:widowControl/>
        <w:spacing w:line="360" w:lineRule="auto"/>
        <w:jc w:val="both"/>
        <w:rPr>
          <w:rFonts w:asciiTheme="majorBidi" w:hAnsiTheme="majorBidi" w:cstheme="majorBidi"/>
          <w:sz w:val="32"/>
          <w:szCs w:val="32"/>
          <w:lang w:val="fr-FR"/>
        </w:rPr>
      </w:pPr>
      <w:r>
        <w:rPr>
          <w:rStyle w:val="FontStyle16"/>
          <w:rFonts w:asciiTheme="majorBidi" w:hAnsiTheme="majorBidi" w:cstheme="majorBidi"/>
          <w:lang w:val="fr-FR" w:eastAsia="fr-FR"/>
        </w:rPr>
        <w:t xml:space="preserve">     </w:t>
      </w:r>
      <w:r w:rsidR="00985E0B" w:rsidRPr="00D802F5">
        <w:rPr>
          <w:rStyle w:val="FontStyle16"/>
          <w:rFonts w:asciiTheme="majorBidi" w:hAnsiTheme="majorBidi" w:cstheme="majorBidi"/>
          <w:lang w:val="fr-FR" w:eastAsia="fr-FR"/>
        </w:rPr>
        <w:t>La filtration solutale est plus favorable en con</w:t>
      </w:r>
      <w:r w:rsidR="00985E0B" w:rsidRPr="00D802F5">
        <w:rPr>
          <w:rStyle w:val="FontStyle16"/>
          <w:rFonts w:asciiTheme="majorBidi" w:hAnsiTheme="majorBidi" w:cstheme="majorBidi"/>
          <w:lang w:val="fr-FR" w:eastAsia="fr-FR"/>
        </w:rPr>
        <w:t>vection mixte pour les solutions aqueuses, alors que dans le cas de la vapeur d'eau dissoute dans l'air, une convection naturelle thermosolutale s'avère plus avantageuse comparativement à un système actif par centrifugation.</w:t>
      </w:r>
    </w:p>
    <w:sectPr w:rsidR="00985E0B" w:rsidRPr="00D802F5">
      <w:type w:val="continuous"/>
      <w:pgSz w:w="11905" w:h="16837"/>
      <w:pgMar w:top="289" w:right="1070" w:bottom="1440" w:left="1662" w:header="720" w:footer="720" w:gutter="0"/>
      <w:cols w:space="60"/>
      <w:noEndnote/>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985E0B" w:rsidRDefault="00985E0B">
      <w:r>
        <w:separator/>
      </w:r>
    </w:p>
  </w:endnote>
  <w:endnote w:type="continuationSeparator" w:id="1">
    <w:p w:rsidR="00985E0B" w:rsidRDefault="00985E0B">
      <w:r>
        <w:continuationSeparator/>
      </w:r>
    </w:p>
  </w:endnote>
</w:endnotes>
</file>

<file path=word/fontTable.xml><?xml version="1.0" encoding="utf-8"?>
<w:fonts xmlns:r="http://schemas.openxmlformats.org/officeDocument/2006/relationships" xmlns:w="http://schemas.openxmlformats.org/wordprocessingml/2006/main">
  <w:font w:name="Angsana New">
    <w:panose1 w:val="02020603050405020304"/>
    <w:charset w:val="00"/>
    <w:family w:val="roman"/>
    <w:pitch w:val="variable"/>
    <w:sig w:usb0="81000003" w:usb1="00000000" w:usb2="00000000" w:usb3="00000000" w:csb0="00010001" w:csb1="00000000"/>
  </w:font>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985E0B" w:rsidRDefault="00985E0B">
      <w:r>
        <w:separator/>
      </w:r>
    </w:p>
  </w:footnote>
  <w:footnote w:type="continuationSeparator" w:id="1">
    <w:p w:rsidR="00985E0B" w:rsidRDefault="00985E0B">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7"/>
  <w:embedSystemFonts/>
  <w:bordersDoNotSurroundHeader/>
  <w:bordersDoNotSurroundFooter/>
  <w:defaultTabStop w:val="720"/>
  <w:drawingGridHorizontalSpacing w:val="120"/>
  <w:drawingGridVerticalSpacing w:val="120"/>
  <w:displayHorizontalDrawingGridEvery w:val="0"/>
  <w:displayVerticalDrawingGridEvery w:val="3"/>
  <w:doNotUseMarginsForDrawingGridOrigin/>
  <w:doNotShadeFormData/>
  <w:characterSpacingControl w:val="compressPunctuation"/>
  <w:doNotValidateAgainstSchema/>
  <w:doNotDemarcateInvalidXml/>
  <w:footnotePr>
    <w:footnote w:id="0"/>
    <w:footnote w:id="1"/>
  </w:footnotePr>
  <w:endnotePr>
    <w:endnote w:id="0"/>
    <w:endnote w:id="1"/>
  </w:endnotePr>
  <w:compat>
    <w:spaceForUL/>
    <w:balanceSingleByteDoubleByteWidth/>
    <w:doNotLeaveBackslashAlone/>
    <w:ulTrailSpace/>
    <w:adjustLineHeightInTable/>
    <w:useFELayout/>
  </w:compat>
  <w:rsids>
    <w:rsidRoot w:val="00D802F5"/>
    <w:rsid w:val="0054302A"/>
    <w:rsid w:val="00985E0B"/>
    <w:rsid w:val="00D802F5"/>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Angsana New"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nhideWhenUsed="0"/>
    <w:lsdException w:name="Subtitle" w:semiHidden="0" w:uiPriority="11" w:unhideWhenUsed="0" w:qFormat="1"/>
    <w:lsdException w:name="Hyperlink" w:unhideWhenUsed="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widowControl w:val="0"/>
      <w:autoSpaceDE w:val="0"/>
      <w:autoSpaceDN w:val="0"/>
      <w:adjustRightInd w:val="0"/>
      <w:spacing w:after="0" w:line="240" w:lineRule="auto"/>
    </w:pPr>
    <w:rPr>
      <w:rFonts w:hAnsi="Angsana New" w:cs="Times New Roman"/>
      <w:sz w:val="24"/>
      <w:szCs w:val="24"/>
    </w:rPr>
  </w:style>
  <w:style w:type="character" w:default="1" w:styleId="Policepardfaut">
    <w:name w:val="Default Paragraph Font"/>
    <w:uiPriority w:val="99"/>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customStyle="1" w:styleId="Style1">
    <w:name w:val="Style1"/>
    <w:basedOn w:val="Normal"/>
    <w:uiPriority w:val="99"/>
    <w:pPr>
      <w:spacing w:line="245" w:lineRule="exact"/>
      <w:ind w:firstLine="216"/>
    </w:pPr>
  </w:style>
  <w:style w:type="paragraph" w:customStyle="1" w:styleId="Style2">
    <w:name w:val="Style2"/>
    <w:basedOn w:val="Normal"/>
    <w:uiPriority w:val="99"/>
    <w:pPr>
      <w:spacing w:line="245" w:lineRule="exact"/>
      <w:ind w:firstLine="269"/>
    </w:pPr>
  </w:style>
  <w:style w:type="paragraph" w:customStyle="1" w:styleId="Style3">
    <w:name w:val="Style3"/>
    <w:basedOn w:val="Normal"/>
    <w:uiPriority w:val="99"/>
  </w:style>
  <w:style w:type="paragraph" w:customStyle="1" w:styleId="Style4">
    <w:name w:val="Style4"/>
    <w:basedOn w:val="Normal"/>
    <w:uiPriority w:val="99"/>
  </w:style>
  <w:style w:type="paragraph" w:customStyle="1" w:styleId="Style5">
    <w:name w:val="Style5"/>
    <w:basedOn w:val="Normal"/>
    <w:uiPriority w:val="99"/>
  </w:style>
  <w:style w:type="paragraph" w:customStyle="1" w:styleId="Style6">
    <w:name w:val="Style6"/>
    <w:basedOn w:val="Normal"/>
    <w:uiPriority w:val="99"/>
    <w:pPr>
      <w:spacing w:line="211" w:lineRule="exact"/>
      <w:ind w:firstLine="283"/>
      <w:jc w:val="both"/>
    </w:pPr>
  </w:style>
  <w:style w:type="paragraph" w:customStyle="1" w:styleId="Style7">
    <w:name w:val="Style7"/>
    <w:basedOn w:val="Normal"/>
    <w:uiPriority w:val="99"/>
    <w:pPr>
      <w:spacing w:line="204" w:lineRule="exact"/>
    </w:pPr>
  </w:style>
  <w:style w:type="character" w:customStyle="1" w:styleId="FontStyle11">
    <w:name w:val="Font Style11"/>
    <w:basedOn w:val="Policepardfaut"/>
    <w:uiPriority w:val="99"/>
    <w:rPr>
      <w:rFonts w:ascii="Angsana New" w:hAnsi="Angsana New" w:cs="Angsana New"/>
      <w:i/>
      <w:iCs/>
      <w:sz w:val="30"/>
      <w:szCs w:val="30"/>
      <w:lang w:bidi="ar-SA"/>
    </w:rPr>
  </w:style>
  <w:style w:type="character" w:customStyle="1" w:styleId="FontStyle12">
    <w:name w:val="Font Style12"/>
    <w:basedOn w:val="Policepardfaut"/>
    <w:uiPriority w:val="99"/>
    <w:rPr>
      <w:rFonts w:ascii="Arial Unicode MS" w:eastAsia="Arial Unicode MS" w:cs="Arial Unicode MS"/>
      <w:sz w:val="20"/>
      <w:szCs w:val="20"/>
      <w:lang w:bidi="ar-SA"/>
    </w:rPr>
  </w:style>
  <w:style w:type="character" w:customStyle="1" w:styleId="FontStyle13">
    <w:name w:val="Font Style13"/>
    <w:basedOn w:val="Policepardfaut"/>
    <w:uiPriority w:val="99"/>
    <w:rPr>
      <w:rFonts w:ascii="Arial Unicode MS" w:eastAsia="Arial Unicode MS" w:cs="Arial Unicode MS"/>
      <w:sz w:val="16"/>
      <w:szCs w:val="16"/>
      <w:lang w:bidi="ar-SA"/>
    </w:rPr>
  </w:style>
  <w:style w:type="character" w:customStyle="1" w:styleId="FontStyle14">
    <w:name w:val="Font Style14"/>
    <w:basedOn w:val="Policepardfaut"/>
    <w:uiPriority w:val="99"/>
    <w:rPr>
      <w:rFonts w:ascii="Angsana New" w:hAnsi="Angsana New" w:cs="Angsana New"/>
      <w:spacing w:val="20"/>
      <w:sz w:val="30"/>
      <w:szCs w:val="30"/>
      <w:lang w:bidi="ar-SA"/>
    </w:rPr>
  </w:style>
  <w:style w:type="character" w:customStyle="1" w:styleId="FontStyle15">
    <w:name w:val="Font Style15"/>
    <w:basedOn w:val="Policepardfaut"/>
    <w:uiPriority w:val="99"/>
    <w:rPr>
      <w:rFonts w:ascii="Angsana New" w:hAnsi="Angsana New" w:cs="Angsana New"/>
      <w:b/>
      <w:bCs/>
      <w:sz w:val="26"/>
      <w:szCs w:val="26"/>
      <w:lang w:bidi="ar-SA"/>
    </w:rPr>
  </w:style>
  <w:style w:type="character" w:customStyle="1" w:styleId="FontStyle16">
    <w:name w:val="Font Style16"/>
    <w:basedOn w:val="Policepardfaut"/>
    <w:uiPriority w:val="99"/>
    <w:rPr>
      <w:rFonts w:ascii="Angsana New" w:hAnsi="Angsana New" w:cs="Angsana New"/>
      <w:sz w:val="24"/>
      <w:szCs w:val="24"/>
      <w:lang w:bidi="ar-SA"/>
    </w:rPr>
  </w:style>
  <w:style w:type="character" w:customStyle="1" w:styleId="FontStyle17">
    <w:name w:val="Font Style17"/>
    <w:basedOn w:val="Policepardfaut"/>
    <w:uiPriority w:val="99"/>
    <w:rPr>
      <w:rFonts w:ascii="Arial Unicode MS" w:eastAsia="Arial Unicode MS" w:cs="Arial Unicode MS"/>
      <w:i/>
      <w:iCs/>
      <w:spacing w:val="30"/>
      <w:sz w:val="24"/>
      <w:szCs w:val="24"/>
      <w:lang w:bidi="ar-SA"/>
    </w:rPr>
  </w:style>
  <w:style w:type="character" w:styleId="Lienhypertexte">
    <w:name w:val="Hyperlink"/>
    <w:basedOn w:val="Policepardfaut"/>
    <w:uiPriority w:val="99"/>
    <w:rPr>
      <w:color w:val="0066CC"/>
      <w:u w:val="single"/>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10</TotalTime>
  <Pages>1</Pages>
  <Words>391</Words>
  <Characters>2229</Characters>
  <Application>Microsoft Office Word</Application>
  <DocSecurity>0</DocSecurity>
  <Lines>18</Lines>
  <Paragraphs>5</Paragraphs>
  <ScaleCrop>false</ScaleCrop>
  <Company/>
  <LinksUpToDate>false</LinksUpToDate>
  <CharactersWithSpaces>2615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traitement</dc:creator>
  <cp:lastModifiedBy>traitement</cp:lastModifiedBy>
  <cp:revision>2</cp:revision>
  <dcterms:created xsi:type="dcterms:W3CDTF">2016-10-27T10:21:00Z</dcterms:created>
  <dcterms:modified xsi:type="dcterms:W3CDTF">2016-10-27T10:31:00Z</dcterms:modified>
</cp:coreProperties>
</file>