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31F4" w:rsidRDefault="00CD31F4" w:rsidP="00000207">
      <w:pPr>
        <w:pStyle w:val="Default"/>
        <w:spacing w:line="360" w:lineRule="auto"/>
        <w:jc w:val="both"/>
        <w:rPr>
          <w:rFonts w:asciiTheme="majorBidi" w:hAnsiTheme="majorBidi" w:cstheme="majorBidi"/>
          <w:b/>
          <w:bCs/>
        </w:rPr>
      </w:pPr>
    </w:p>
    <w:p w:rsidR="00CD31F4" w:rsidRDefault="00CD31F4" w:rsidP="00000207">
      <w:pPr>
        <w:pStyle w:val="Default"/>
        <w:spacing w:line="360" w:lineRule="auto"/>
        <w:jc w:val="both"/>
        <w:rPr>
          <w:rFonts w:asciiTheme="majorBidi" w:hAnsiTheme="majorBidi" w:cstheme="majorBidi"/>
          <w:b/>
          <w:bCs/>
        </w:rPr>
      </w:pPr>
    </w:p>
    <w:p w:rsidR="00000207" w:rsidRPr="00CD31F4" w:rsidRDefault="00000207" w:rsidP="00000207">
      <w:pPr>
        <w:pStyle w:val="Default"/>
        <w:spacing w:line="360" w:lineRule="auto"/>
        <w:jc w:val="both"/>
        <w:rPr>
          <w:rFonts w:asciiTheme="majorBidi" w:hAnsiTheme="majorBidi" w:cstheme="majorBidi"/>
          <w:b/>
          <w:bCs/>
          <w:sz w:val="32"/>
          <w:szCs w:val="32"/>
        </w:rPr>
      </w:pPr>
      <w:r w:rsidRPr="00CD31F4">
        <w:rPr>
          <w:rFonts w:asciiTheme="majorBidi" w:hAnsiTheme="majorBidi" w:cstheme="majorBidi"/>
          <w:b/>
          <w:bCs/>
          <w:sz w:val="32"/>
          <w:szCs w:val="32"/>
          <w:u w:val="single"/>
        </w:rPr>
        <w:t>Résumé</w:t>
      </w:r>
      <w:r w:rsidR="00CD31F4">
        <w:rPr>
          <w:rFonts w:asciiTheme="majorBidi" w:hAnsiTheme="majorBidi" w:cstheme="majorBidi"/>
          <w:b/>
          <w:bCs/>
          <w:sz w:val="32"/>
          <w:szCs w:val="32"/>
        </w:rPr>
        <w:t> :</w:t>
      </w:r>
    </w:p>
    <w:p w:rsidR="00000207" w:rsidRDefault="00000207" w:rsidP="00000207">
      <w:pPr>
        <w:pStyle w:val="Default"/>
        <w:spacing w:line="360" w:lineRule="auto"/>
        <w:jc w:val="both"/>
        <w:rPr>
          <w:rFonts w:asciiTheme="majorBidi" w:hAnsiTheme="majorBidi" w:cstheme="majorBidi"/>
        </w:rPr>
      </w:pPr>
      <w:bookmarkStart w:id="0" w:name="_GoBack"/>
      <w:r>
        <w:rPr>
          <w:rFonts w:asciiTheme="majorBidi" w:hAnsiTheme="majorBidi" w:cstheme="majorBidi"/>
        </w:rPr>
        <w:t xml:space="preserve">Le but de cette étude est d'évaluer les effets de la castration et de la supplémentation en testostérone sur le statut redox, les marqueurs du métabolisme cardiaque et l'expression des protéines S100 dans le cœur des rats mâles. </w:t>
      </w:r>
    </w:p>
    <w:p w:rsidR="00000207" w:rsidRDefault="00000207" w:rsidP="00000207">
      <w:pPr>
        <w:pStyle w:val="Default"/>
        <w:spacing w:line="360" w:lineRule="auto"/>
        <w:jc w:val="both"/>
        <w:rPr>
          <w:rFonts w:asciiTheme="majorBidi" w:hAnsiTheme="majorBidi" w:cstheme="majorBidi"/>
        </w:rPr>
      </w:pPr>
      <w:r>
        <w:rPr>
          <w:rFonts w:asciiTheme="majorBidi" w:hAnsiTheme="majorBidi" w:cstheme="majorBidi"/>
        </w:rPr>
        <w:t xml:space="preserve">Un lot de 50 rats </w:t>
      </w:r>
      <w:proofErr w:type="spellStart"/>
      <w:r>
        <w:rPr>
          <w:rFonts w:asciiTheme="majorBidi" w:hAnsiTheme="majorBidi" w:cstheme="majorBidi"/>
          <w:i/>
          <w:iCs/>
        </w:rPr>
        <w:t>Wistar</w:t>
      </w:r>
      <w:proofErr w:type="spellEnd"/>
      <w:r>
        <w:rPr>
          <w:rFonts w:asciiTheme="majorBidi" w:hAnsiTheme="majorBidi" w:cstheme="majorBidi"/>
        </w:rPr>
        <w:t xml:space="preserve"> mâles est réparti en cinq groupes de dix animaux </w:t>
      </w:r>
      <w:proofErr w:type="gramStart"/>
      <w:r>
        <w:rPr>
          <w:rFonts w:asciiTheme="majorBidi" w:hAnsiTheme="majorBidi" w:cstheme="majorBidi"/>
        </w:rPr>
        <w:t>chacun:</w:t>
      </w:r>
      <w:proofErr w:type="gramEnd"/>
      <w:r>
        <w:rPr>
          <w:rFonts w:asciiTheme="majorBidi" w:hAnsiTheme="majorBidi" w:cstheme="majorBidi"/>
        </w:rPr>
        <w:t xml:space="preserve"> Groupe 1: témoin intact (CON). Groupe </w:t>
      </w:r>
      <w:proofErr w:type="gramStart"/>
      <w:r>
        <w:rPr>
          <w:rFonts w:asciiTheme="majorBidi" w:hAnsiTheme="majorBidi" w:cstheme="majorBidi"/>
        </w:rPr>
        <w:t>2:</w:t>
      </w:r>
      <w:proofErr w:type="gramEnd"/>
      <w:r>
        <w:rPr>
          <w:rFonts w:asciiTheme="majorBidi" w:hAnsiTheme="majorBidi" w:cstheme="majorBidi"/>
        </w:rPr>
        <w:t xml:space="preserve"> </w:t>
      </w:r>
      <w:proofErr w:type="spellStart"/>
      <w:r>
        <w:rPr>
          <w:rFonts w:asciiTheme="majorBidi" w:hAnsiTheme="majorBidi" w:cstheme="majorBidi"/>
        </w:rPr>
        <w:t>Sham</w:t>
      </w:r>
      <w:proofErr w:type="spellEnd"/>
      <w:r>
        <w:rPr>
          <w:rFonts w:asciiTheme="majorBidi" w:hAnsiTheme="majorBidi" w:cstheme="majorBidi"/>
        </w:rPr>
        <w:t xml:space="preserve"> opéré (Sh-O). Groupe </w:t>
      </w:r>
      <w:proofErr w:type="gramStart"/>
      <w:r>
        <w:rPr>
          <w:rFonts w:asciiTheme="majorBidi" w:hAnsiTheme="majorBidi" w:cstheme="majorBidi"/>
        </w:rPr>
        <w:t>3:</w:t>
      </w:r>
      <w:proofErr w:type="gramEnd"/>
      <w:r>
        <w:rPr>
          <w:rFonts w:asciiTheme="majorBidi" w:hAnsiTheme="majorBidi" w:cstheme="majorBidi"/>
        </w:rPr>
        <w:t xml:space="preserve"> rats traités à l'huile de sésame (S-</w:t>
      </w:r>
      <w:proofErr w:type="spellStart"/>
      <w:r>
        <w:rPr>
          <w:rFonts w:asciiTheme="majorBidi" w:hAnsiTheme="majorBidi" w:cstheme="majorBidi"/>
        </w:rPr>
        <w:t>oil</w:t>
      </w:r>
      <w:proofErr w:type="spellEnd"/>
      <w:r>
        <w:rPr>
          <w:rFonts w:asciiTheme="majorBidi" w:hAnsiTheme="majorBidi" w:cstheme="majorBidi"/>
        </w:rPr>
        <w:t xml:space="preserve">). Groupe </w:t>
      </w:r>
      <w:proofErr w:type="gramStart"/>
      <w:r>
        <w:rPr>
          <w:rFonts w:asciiTheme="majorBidi" w:hAnsiTheme="majorBidi" w:cstheme="majorBidi"/>
        </w:rPr>
        <w:t>4:</w:t>
      </w:r>
      <w:proofErr w:type="gramEnd"/>
      <w:r>
        <w:rPr>
          <w:rFonts w:asciiTheme="majorBidi" w:hAnsiTheme="majorBidi" w:cstheme="majorBidi"/>
        </w:rPr>
        <w:t xml:space="preserve"> </w:t>
      </w:r>
      <w:proofErr w:type="spellStart"/>
      <w:r>
        <w:rPr>
          <w:rFonts w:asciiTheme="majorBidi" w:hAnsiTheme="majorBidi" w:cstheme="majorBidi"/>
        </w:rPr>
        <w:t>Gonadoectomisé</w:t>
      </w:r>
      <w:proofErr w:type="spellEnd"/>
      <w:r>
        <w:rPr>
          <w:rFonts w:asciiTheme="majorBidi" w:hAnsiTheme="majorBidi" w:cstheme="majorBidi"/>
        </w:rPr>
        <w:t xml:space="preserve"> (GDX). Groupe </w:t>
      </w:r>
      <w:proofErr w:type="gramStart"/>
      <w:r>
        <w:rPr>
          <w:rFonts w:asciiTheme="majorBidi" w:hAnsiTheme="majorBidi" w:cstheme="majorBidi"/>
        </w:rPr>
        <w:t>5:</w:t>
      </w:r>
      <w:proofErr w:type="gramEnd"/>
      <w:r>
        <w:rPr>
          <w:rFonts w:asciiTheme="majorBidi" w:hAnsiTheme="majorBidi" w:cstheme="majorBidi"/>
        </w:rPr>
        <w:t xml:space="preserve"> rats </w:t>
      </w:r>
      <w:proofErr w:type="spellStart"/>
      <w:r>
        <w:rPr>
          <w:rFonts w:asciiTheme="majorBidi" w:hAnsiTheme="majorBidi" w:cstheme="majorBidi"/>
        </w:rPr>
        <w:t>gonadoectomisés</w:t>
      </w:r>
      <w:proofErr w:type="spellEnd"/>
      <w:r>
        <w:rPr>
          <w:rFonts w:asciiTheme="majorBidi" w:hAnsiTheme="majorBidi" w:cstheme="majorBidi"/>
        </w:rPr>
        <w:t xml:space="preserve"> substitués  à la testostérone (GDX-T) pendant huit semaines. </w:t>
      </w:r>
    </w:p>
    <w:p w:rsidR="00000207" w:rsidRDefault="00000207" w:rsidP="00000207">
      <w:pPr>
        <w:pStyle w:val="Default"/>
        <w:spacing w:line="360" w:lineRule="auto"/>
        <w:jc w:val="both"/>
        <w:rPr>
          <w:rFonts w:asciiTheme="majorBidi" w:hAnsiTheme="majorBidi" w:cstheme="majorBidi"/>
        </w:rPr>
      </w:pPr>
      <w:r>
        <w:rPr>
          <w:rFonts w:asciiTheme="majorBidi" w:hAnsiTheme="majorBidi" w:cstheme="majorBidi"/>
        </w:rPr>
        <w:t xml:space="preserve">Nos résultats montrent une ondulation des cardiomyocytes, une apoptose, une infiltration inflammatoire et une fibrose associée avec une augmentation de l'activité de la MMP 9 et de la MMP 2 dans le cœur des rats castrés. La structure normale du cœur est majoritairement restaurée après supplémentation à la testostérone. De plus, un état de stress oxydant est observé dans le cœur des rats castrés avec augmentation du NO et du MDA et une diminution des taux de la GSH. Après substitution à la testostérone, seulement, les taux du NO cardiaque diminuent. Les marqueurs du métabolisme cardiaque ont montré une augmentation de l'activité de la LDH dans le cœur des rats castrés. Cela est inversé après substitution à la testostérone. En outre, la castration induit une accumulation des et du cholestérol total dans le cœur. Les taux des triglycérides et du cholestérol total cardiaques sont significativement réduits par la supplémentation en testostérone. Les cardiomyocytes des rats castrés montrent une diminution de l'immunoexpression des protéines S100 par rapport aux animaux témoins. Une restauration de l'immunomarquage des protéines S100 dans le cytoplasme des cardiomyocytes est observée après supplémentation en testostérone. </w:t>
      </w:r>
    </w:p>
    <w:p w:rsidR="00000207" w:rsidRDefault="00000207" w:rsidP="00000207">
      <w:pPr>
        <w:pStyle w:val="Default"/>
        <w:spacing w:line="360" w:lineRule="auto"/>
        <w:jc w:val="both"/>
        <w:rPr>
          <w:rFonts w:asciiTheme="majorBidi" w:hAnsiTheme="majorBidi" w:cstheme="majorBidi"/>
        </w:rPr>
      </w:pPr>
      <w:r>
        <w:rPr>
          <w:rFonts w:asciiTheme="majorBidi" w:hAnsiTheme="majorBidi" w:cstheme="majorBidi"/>
        </w:rPr>
        <w:t>Ces résultats confirment les effets délétères du déficit en testostérone sur la fonction cardiaque et démontrent l'implication du Monoxyde d’Azote, des métalloprotéinases 2 et 9 et des protéines S100.</w:t>
      </w:r>
      <w:bookmarkEnd w:id="0"/>
    </w:p>
    <w:sectPr w:rsidR="0000020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207"/>
    <w:rsid w:val="00000207"/>
    <w:rsid w:val="0078199B"/>
    <w:rsid w:val="00CD31F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839F11-C2A7-4D9B-8553-C3F82565C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000207"/>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8818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307</Words>
  <Characters>1690</Characters>
  <Application>Microsoft Office Word</Application>
  <DocSecurity>0</DocSecurity>
  <Lines>14</Lines>
  <Paragraphs>3</Paragraphs>
  <ScaleCrop>false</ScaleCrop>
  <Company/>
  <LinksUpToDate>false</LinksUpToDate>
  <CharactersWithSpaces>1994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dc:creator>
  <cp:keywords/>
  <dc:description/>
  <cp:lastModifiedBy>naima</cp:lastModifiedBy>
  <cp:revision>2</cp:revision>
  <dcterms:created xsi:type="dcterms:W3CDTF">2018-05-14T10:15:00Z</dcterms:created>
  <dcterms:modified xsi:type="dcterms:W3CDTF">2018-10-03T11:05:00Z</dcterms:modified>
</cp:coreProperties>
</file>