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3A9F" w:rsidRPr="005602F5" w:rsidRDefault="00E80ABC" w:rsidP="005602F5">
      <w:pPr>
        <w:jc w:val="center"/>
        <w:rPr>
          <w:rFonts w:asciiTheme="majorBidi" w:hAnsiTheme="majorBidi" w:cstheme="majorBidi"/>
          <w:b/>
          <w:bCs/>
          <w:color w:val="7030A0"/>
          <w:sz w:val="20"/>
          <w:szCs w:val="20"/>
        </w:rPr>
      </w:pPr>
      <w:r w:rsidRPr="005602F5">
        <w:rPr>
          <w:rFonts w:asciiTheme="majorBidi" w:hAnsiTheme="majorBidi" w:cstheme="majorBidi"/>
          <w:b/>
          <w:bCs/>
          <w:color w:val="7030A0"/>
          <w:sz w:val="20"/>
          <w:szCs w:val="20"/>
        </w:rPr>
        <w:t>RESUME</w:t>
      </w:r>
    </w:p>
    <w:p w:rsidR="000C27AD" w:rsidRPr="005602F5" w:rsidRDefault="003E3A9F" w:rsidP="005B5CD8">
      <w:pPr>
        <w:spacing w:after="120"/>
        <w:ind w:firstLine="425"/>
        <w:jc w:val="both"/>
        <w:rPr>
          <w:rFonts w:asciiTheme="majorBidi" w:hAnsiTheme="majorBidi" w:cstheme="majorBidi"/>
          <w:sz w:val="20"/>
          <w:szCs w:val="20"/>
        </w:rPr>
      </w:pPr>
      <w:r w:rsidRPr="005602F5">
        <w:rPr>
          <w:rFonts w:asciiTheme="majorBidi" w:hAnsiTheme="majorBidi" w:cstheme="majorBidi"/>
          <w:sz w:val="20"/>
          <w:szCs w:val="20"/>
        </w:rPr>
        <w:t xml:space="preserve">La présente étude s’est focalisée sur l’étude du venin de </w:t>
      </w:r>
      <w:proofErr w:type="spellStart"/>
      <w:r w:rsidRPr="005602F5">
        <w:rPr>
          <w:rFonts w:asciiTheme="majorBidi" w:hAnsiTheme="majorBidi" w:cstheme="majorBidi"/>
          <w:i/>
          <w:iCs/>
          <w:sz w:val="20"/>
          <w:szCs w:val="20"/>
        </w:rPr>
        <w:t>C</w:t>
      </w:r>
      <w:r w:rsidR="00432E4C">
        <w:rPr>
          <w:rFonts w:asciiTheme="majorBidi" w:hAnsiTheme="majorBidi" w:cstheme="majorBidi"/>
          <w:i/>
          <w:iCs/>
          <w:sz w:val="20"/>
          <w:szCs w:val="20"/>
        </w:rPr>
        <w:t>erastes</w:t>
      </w:r>
      <w:proofErr w:type="spellEnd"/>
      <w:r w:rsidR="00A65306" w:rsidRPr="005602F5">
        <w:rPr>
          <w:rFonts w:asciiTheme="majorBidi" w:hAnsiTheme="majorBidi" w:cstheme="majorBidi"/>
          <w:i/>
          <w:iCs/>
          <w:sz w:val="20"/>
          <w:szCs w:val="20"/>
        </w:rPr>
        <w:t xml:space="preserve"> </w:t>
      </w:r>
      <w:proofErr w:type="spellStart"/>
      <w:r w:rsidRPr="005602F5">
        <w:rPr>
          <w:rFonts w:asciiTheme="majorBidi" w:hAnsiTheme="majorBidi" w:cstheme="majorBidi"/>
          <w:i/>
          <w:iCs/>
          <w:sz w:val="20"/>
          <w:szCs w:val="20"/>
        </w:rPr>
        <w:t>cerastes</w:t>
      </w:r>
      <w:proofErr w:type="spellEnd"/>
      <w:r w:rsidRPr="005602F5">
        <w:rPr>
          <w:rFonts w:asciiTheme="majorBidi" w:hAnsiTheme="majorBidi" w:cstheme="majorBidi"/>
          <w:sz w:val="20"/>
          <w:szCs w:val="20"/>
        </w:rPr>
        <w:t xml:space="preserve"> et rapporte trois principaux volets</w:t>
      </w:r>
      <w:r w:rsidR="00E80ABC">
        <w:rPr>
          <w:rFonts w:asciiTheme="majorBidi" w:hAnsiTheme="majorBidi" w:cstheme="majorBidi"/>
          <w:i/>
          <w:iCs/>
          <w:sz w:val="20"/>
          <w:szCs w:val="20"/>
        </w:rPr>
        <w:t xml:space="preserve">. </w:t>
      </w:r>
      <w:r w:rsidRPr="005602F5">
        <w:rPr>
          <w:rFonts w:asciiTheme="majorBidi" w:hAnsiTheme="majorBidi" w:cstheme="majorBidi"/>
          <w:i/>
          <w:iCs/>
          <w:sz w:val="20"/>
          <w:szCs w:val="20"/>
        </w:rPr>
        <w:t>(</w:t>
      </w:r>
      <w:r w:rsidRPr="005602F5">
        <w:rPr>
          <w:rFonts w:asciiTheme="majorBidi" w:hAnsiTheme="majorBidi" w:cstheme="majorBidi"/>
          <w:b/>
          <w:bCs/>
          <w:i/>
          <w:iCs/>
          <w:sz w:val="20"/>
          <w:szCs w:val="20"/>
        </w:rPr>
        <w:t>I</w:t>
      </w:r>
      <w:r w:rsidRPr="005602F5">
        <w:rPr>
          <w:rFonts w:asciiTheme="majorBidi" w:hAnsiTheme="majorBidi" w:cstheme="majorBidi"/>
          <w:i/>
          <w:iCs/>
          <w:sz w:val="20"/>
          <w:szCs w:val="20"/>
        </w:rPr>
        <w:t>)</w:t>
      </w:r>
      <w:r w:rsidRPr="005602F5">
        <w:rPr>
          <w:rFonts w:asciiTheme="majorBidi" w:hAnsiTheme="majorBidi" w:cstheme="majorBidi"/>
          <w:sz w:val="20"/>
          <w:szCs w:val="20"/>
        </w:rPr>
        <w:t xml:space="preserve"> L’identification et la caractérisation de nouvelles activités dans le venin de </w:t>
      </w:r>
      <w:r w:rsidRPr="005602F5">
        <w:rPr>
          <w:rFonts w:asciiTheme="majorBidi" w:hAnsiTheme="majorBidi" w:cstheme="majorBidi"/>
          <w:i/>
          <w:iCs/>
          <w:sz w:val="20"/>
          <w:szCs w:val="20"/>
        </w:rPr>
        <w:t>C</w:t>
      </w:r>
      <w:r w:rsidR="00432E4C">
        <w:rPr>
          <w:rFonts w:asciiTheme="majorBidi" w:hAnsiTheme="majorBidi" w:cstheme="majorBidi"/>
          <w:i/>
          <w:iCs/>
          <w:sz w:val="20"/>
          <w:szCs w:val="20"/>
        </w:rPr>
        <w:t>.</w:t>
      </w:r>
      <w:r w:rsidR="00EB73BB">
        <w:rPr>
          <w:rFonts w:asciiTheme="majorBidi" w:hAnsiTheme="majorBidi" w:cstheme="majorBidi"/>
          <w:i/>
          <w:iCs/>
          <w:sz w:val="20"/>
          <w:szCs w:val="20"/>
        </w:rPr>
        <w:t xml:space="preserve"> </w:t>
      </w:r>
      <w:proofErr w:type="spellStart"/>
      <w:r w:rsidR="00EB73BB">
        <w:rPr>
          <w:rFonts w:asciiTheme="majorBidi" w:hAnsiTheme="majorBidi" w:cstheme="majorBidi"/>
          <w:i/>
          <w:iCs/>
          <w:sz w:val="20"/>
          <w:szCs w:val="20"/>
        </w:rPr>
        <w:t>cerastes</w:t>
      </w:r>
      <w:proofErr w:type="spellEnd"/>
      <w:r w:rsidR="00EB73BB">
        <w:rPr>
          <w:rFonts w:asciiTheme="majorBidi" w:hAnsiTheme="majorBidi" w:cstheme="majorBidi"/>
          <w:i/>
          <w:iCs/>
          <w:sz w:val="20"/>
          <w:szCs w:val="20"/>
        </w:rPr>
        <w:t xml:space="preserve">. </w:t>
      </w:r>
      <w:r w:rsidRPr="005602F5">
        <w:rPr>
          <w:rFonts w:asciiTheme="majorBidi" w:hAnsiTheme="majorBidi" w:cstheme="majorBidi"/>
          <w:i/>
          <w:iCs/>
          <w:sz w:val="20"/>
          <w:szCs w:val="20"/>
        </w:rPr>
        <w:t>(</w:t>
      </w:r>
      <w:r w:rsidRPr="005602F5">
        <w:rPr>
          <w:rFonts w:asciiTheme="majorBidi" w:hAnsiTheme="majorBidi" w:cstheme="majorBidi"/>
          <w:b/>
          <w:bCs/>
          <w:i/>
          <w:iCs/>
          <w:sz w:val="20"/>
          <w:szCs w:val="20"/>
        </w:rPr>
        <w:t>II</w:t>
      </w:r>
      <w:r w:rsidRPr="005602F5">
        <w:rPr>
          <w:rFonts w:asciiTheme="majorBidi" w:hAnsiTheme="majorBidi" w:cstheme="majorBidi"/>
          <w:i/>
          <w:iCs/>
          <w:sz w:val="20"/>
          <w:szCs w:val="20"/>
        </w:rPr>
        <w:t>)</w:t>
      </w:r>
      <w:r w:rsidRPr="005602F5">
        <w:rPr>
          <w:rFonts w:asciiTheme="majorBidi" w:hAnsiTheme="majorBidi" w:cstheme="majorBidi"/>
          <w:sz w:val="20"/>
          <w:szCs w:val="20"/>
        </w:rPr>
        <w:t xml:space="preserve"> La caractérisation structuro-fonctionnelle d’une 5</w:t>
      </w:r>
      <w:r w:rsidRPr="005602F5">
        <w:rPr>
          <w:rFonts w:cstheme="majorBidi"/>
          <w:sz w:val="20"/>
          <w:szCs w:val="20"/>
        </w:rPr>
        <w:t>’</w:t>
      </w:r>
      <w:r w:rsidRPr="005602F5">
        <w:rPr>
          <w:rFonts w:asciiTheme="majorBidi" w:hAnsiTheme="majorBidi" w:cstheme="majorBidi"/>
          <w:sz w:val="20"/>
          <w:szCs w:val="20"/>
        </w:rPr>
        <w:t>-nucléotidase (Cc-5</w:t>
      </w:r>
      <w:r w:rsidRPr="005602F5">
        <w:rPr>
          <w:rFonts w:cstheme="majorBidi"/>
          <w:sz w:val="20"/>
          <w:szCs w:val="20"/>
        </w:rPr>
        <w:t>’</w:t>
      </w:r>
      <w:r w:rsidRPr="005602F5">
        <w:rPr>
          <w:rFonts w:asciiTheme="majorBidi" w:hAnsiTheme="majorBidi" w:cstheme="majorBidi"/>
          <w:sz w:val="20"/>
          <w:szCs w:val="20"/>
        </w:rPr>
        <w:t>NTase)</w:t>
      </w:r>
      <w:r w:rsidR="00EB73BB">
        <w:rPr>
          <w:rFonts w:asciiTheme="majorBidi" w:hAnsiTheme="majorBidi" w:cstheme="majorBidi"/>
          <w:sz w:val="20"/>
          <w:szCs w:val="20"/>
        </w:rPr>
        <w:t xml:space="preserve"> </w:t>
      </w:r>
      <w:r w:rsidRPr="005602F5">
        <w:rPr>
          <w:rFonts w:asciiTheme="majorBidi" w:hAnsiTheme="majorBidi" w:cstheme="majorBidi"/>
          <w:sz w:val="20"/>
          <w:szCs w:val="20"/>
        </w:rPr>
        <w:t>rév</w:t>
      </w:r>
      <w:r w:rsidR="00EB73BB">
        <w:rPr>
          <w:rFonts w:asciiTheme="majorBidi" w:hAnsiTheme="majorBidi" w:cstheme="majorBidi"/>
          <w:sz w:val="20"/>
          <w:szCs w:val="20"/>
        </w:rPr>
        <w:t>élant</w:t>
      </w:r>
      <w:r w:rsidRPr="005602F5">
        <w:rPr>
          <w:rFonts w:asciiTheme="majorBidi" w:hAnsiTheme="majorBidi" w:cstheme="majorBidi"/>
          <w:sz w:val="20"/>
          <w:szCs w:val="20"/>
        </w:rPr>
        <w:t xml:space="preserve"> un effet antico</w:t>
      </w:r>
      <w:r w:rsidR="00D87B7E" w:rsidRPr="005602F5">
        <w:rPr>
          <w:rFonts w:asciiTheme="majorBidi" w:hAnsiTheme="majorBidi" w:cstheme="majorBidi"/>
          <w:sz w:val="20"/>
          <w:szCs w:val="20"/>
        </w:rPr>
        <w:t xml:space="preserve">agulant </w:t>
      </w:r>
      <w:r w:rsidR="00EB73BB">
        <w:rPr>
          <w:rFonts w:asciiTheme="majorBidi" w:hAnsiTheme="majorBidi" w:cstheme="majorBidi"/>
          <w:sz w:val="20"/>
          <w:szCs w:val="20"/>
        </w:rPr>
        <w:t xml:space="preserve">et </w:t>
      </w:r>
      <w:r w:rsidRPr="005602F5">
        <w:rPr>
          <w:rFonts w:asciiTheme="majorBidi" w:hAnsiTheme="majorBidi" w:cstheme="majorBidi"/>
          <w:sz w:val="20"/>
          <w:szCs w:val="20"/>
        </w:rPr>
        <w:t>une inhibition de l’agrégation</w:t>
      </w:r>
      <w:r w:rsidR="00B16112">
        <w:rPr>
          <w:rFonts w:asciiTheme="majorBidi" w:hAnsiTheme="majorBidi" w:cstheme="majorBidi"/>
          <w:sz w:val="20"/>
          <w:szCs w:val="20"/>
        </w:rPr>
        <w:t>,</w:t>
      </w:r>
      <w:r w:rsidRPr="005602F5">
        <w:rPr>
          <w:rFonts w:asciiTheme="majorBidi" w:hAnsiTheme="majorBidi" w:cstheme="majorBidi"/>
          <w:sz w:val="20"/>
          <w:szCs w:val="20"/>
        </w:rPr>
        <w:t xml:space="preserve"> </w:t>
      </w:r>
      <w:r w:rsidR="00EB73BB">
        <w:rPr>
          <w:rFonts w:asciiTheme="majorBidi" w:hAnsiTheme="majorBidi" w:cstheme="majorBidi"/>
          <w:sz w:val="20"/>
          <w:szCs w:val="20"/>
        </w:rPr>
        <w:t>résultants de l’</w:t>
      </w:r>
      <w:r w:rsidRPr="005602F5">
        <w:rPr>
          <w:rFonts w:asciiTheme="majorBidi" w:hAnsiTheme="majorBidi" w:cstheme="majorBidi"/>
          <w:sz w:val="20"/>
          <w:szCs w:val="20"/>
        </w:rPr>
        <w:t>hydrolyse de l’ADP</w:t>
      </w:r>
      <w:r w:rsidR="00EB73BB">
        <w:rPr>
          <w:rFonts w:asciiTheme="majorBidi" w:hAnsiTheme="majorBidi" w:cstheme="majorBidi"/>
          <w:sz w:val="20"/>
          <w:szCs w:val="20"/>
        </w:rPr>
        <w:t xml:space="preserve"> et</w:t>
      </w:r>
      <w:r w:rsidRPr="005602F5">
        <w:rPr>
          <w:rFonts w:asciiTheme="majorBidi" w:hAnsiTheme="majorBidi" w:cstheme="majorBidi"/>
          <w:sz w:val="20"/>
          <w:szCs w:val="20"/>
        </w:rPr>
        <w:t xml:space="preserve"> </w:t>
      </w:r>
      <w:r w:rsidR="00EB73BB">
        <w:rPr>
          <w:rFonts w:asciiTheme="majorBidi" w:hAnsiTheme="majorBidi" w:cstheme="majorBidi"/>
          <w:sz w:val="20"/>
          <w:szCs w:val="20"/>
        </w:rPr>
        <w:t xml:space="preserve">le </w:t>
      </w:r>
      <w:r w:rsidRPr="005602F5">
        <w:rPr>
          <w:rFonts w:asciiTheme="majorBidi" w:hAnsiTheme="majorBidi" w:cstheme="majorBidi"/>
          <w:sz w:val="20"/>
          <w:szCs w:val="20"/>
        </w:rPr>
        <w:t>blocage de son interaction avec son récepteur e</w:t>
      </w:r>
      <w:r w:rsidR="003E3AD8" w:rsidRPr="005602F5">
        <w:rPr>
          <w:rFonts w:asciiTheme="majorBidi" w:hAnsiTheme="majorBidi" w:cstheme="majorBidi"/>
          <w:sz w:val="20"/>
          <w:szCs w:val="20"/>
        </w:rPr>
        <w:t>t la libération de l’adénosine.</w:t>
      </w:r>
      <w:r w:rsidR="00E57A43" w:rsidRPr="005602F5">
        <w:rPr>
          <w:rFonts w:asciiTheme="majorBidi" w:hAnsiTheme="majorBidi" w:cstheme="majorBidi"/>
          <w:sz w:val="20"/>
          <w:szCs w:val="20"/>
        </w:rPr>
        <w:t xml:space="preserve"> </w:t>
      </w:r>
      <w:r w:rsidRPr="005602F5">
        <w:rPr>
          <w:rFonts w:asciiTheme="majorBidi" w:hAnsiTheme="majorBidi" w:cstheme="majorBidi"/>
          <w:i/>
          <w:iCs/>
          <w:sz w:val="20"/>
          <w:szCs w:val="20"/>
        </w:rPr>
        <w:t>(</w:t>
      </w:r>
      <w:r w:rsidRPr="005602F5">
        <w:rPr>
          <w:rFonts w:asciiTheme="majorBidi" w:hAnsiTheme="majorBidi" w:cstheme="majorBidi"/>
          <w:b/>
          <w:bCs/>
          <w:i/>
          <w:iCs/>
          <w:sz w:val="20"/>
          <w:szCs w:val="20"/>
        </w:rPr>
        <w:t>III</w:t>
      </w:r>
      <w:r w:rsidRPr="005602F5">
        <w:rPr>
          <w:rFonts w:asciiTheme="majorBidi" w:hAnsiTheme="majorBidi" w:cstheme="majorBidi"/>
          <w:i/>
          <w:iCs/>
          <w:sz w:val="20"/>
          <w:szCs w:val="20"/>
        </w:rPr>
        <w:t>)</w:t>
      </w:r>
      <w:r w:rsidRPr="005602F5">
        <w:rPr>
          <w:rFonts w:asciiTheme="majorBidi" w:hAnsiTheme="majorBidi" w:cstheme="majorBidi"/>
          <w:sz w:val="20"/>
          <w:szCs w:val="20"/>
        </w:rPr>
        <w:t xml:space="preserve"> La mise en évidence et la modélisati</w:t>
      </w:r>
      <w:r w:rsidR="00432E4C">
        <w:rPr>
          <w:rFonts w:asciiTheme="majorBidi" w:hAnsiTheme="majorBidi" w:cstheme="majorBidi"/>
          <w:sz w:val="20"/>
          <w:szCs w:val="20"/>
        </w:rPr>
        <w:t>on structurale de la</w:t>
      </w:r>
      <w:r w:rsidR="00A65306" w:rsidRPr="005602F5">
        <w:rPr>
          <w:rFonts w:asciiTheme="majorBidi" w:hAnsiTheme="majorBidi" w:cstheme="majorBidi"/>
          <w:sz w:val="20"/>
          <w:szCs w:val="20"/>
        </w:rPr>
        <w:t xml:space="preserve"> le</w:t>
      </w:r>
      <w:r w:rsidRPr="005602F5">
        <w:rPr>
          <w:rFonts w:asciiTheme="majorBidi" w:hAnsiTheme="majorBidi" w:cstheme="majorBidi"/>
          <w:sz w:val="20"/>
          <w:szCs w:val="20"/>
        </w:rPr>
        <w:t>ctine de t</w:t>
      </w:r>
      <w:r w:rsidR="00432E4C">
        <w:rPr>
          <w:rFonts w:asciiTheme="majorBidi" w:hAnsiTheme="majorBidi" w:cstheme="majorBidi"/>
          <w:sz w:val="20"/>
          <w:szCs w:val="20"/>
        </w:rPr>
        <w:t>ype C (Cc-</w:t>
      </w:r>
      <w:proofErr w:type="spellStart"/>
      <w:r w:rsidR="00432E4C">
        <w:rPr>
          <w:rFonts w:asciiTheme="majorBidi" w:hAnsiTheme="majorBidi" w:cstheme="majorBidi"/>
          <w:sz w:val="20"/>
          <w:szCs w:val="20"/>
        </w:rPr>
        <w:t>Lec</w:t>
      </w:r>
      <w:proofErr w:type="spellEnd"/>
      <w:r w:rsidR="00432E4C">
        <w:rPr>
          <w:rFonts w:asciiTheme="majorBidi" w:hAnsiTheme="majorBidi" w:cstheme="majorBidi"/>
          <w:sz w:val="20"/>
          <w:szCs w:val="20"/>
        </w:rPr>
        <w:t>).</w:t>
      </w:r>
      <w:r w:rsidRPr="005602F5">
        <w:rPr>
          <w:rFonts w:asciiTheme="majorBidi" w:hAnsiTheme="majorBidi" w:cstheme="majorBidi"/>
          <w:sz w:val="20"/>
          <w:szCs w:val="20"/>
        </w:rPr>
        <w:t xml:space="preserve"> </w:t>
      </w:r>
      <w:r w:rsidR="005B5CD8">
        <w:rPr>
          <w:rFonts w:asciiTheme="majorBidi" w:hAnsiTheme="majorBidi" w:cstheme="majorBidi"/>
          <w:sz w:val="20"/>
          <w:szCs w:val="20"/>
        </w:rPr>
        <w:t>L</w:t>
      </w:r>
      <w:r w:rsidRPr="005602F5">
        <w:rPr>
          <w:rFonts w:asciiTheme="majorBidi" w:hAnsiTheme="majorBidi" w:cstheme="majorBidi"/>
          <w:sz w:val="20"/>
          <w:szCs w:val="20"/>
        </w:rPr>
        <w:t xml:space="preserve">a caractérisation fonctionnelle </w:t>
      </w:r>
      <w:r w:rsidR="005B5CD8">
        <w:rPr>
          <w:rFonts w:asciiTheme="majorBidi" w:hAnsiTheme="majorBidi" w:cstheme="majorBidi"/>
          <w:sz w:val="20"/>
          <w:szCs w:val="20"/>
        </w:rPr>
        <w:t>de Cc-</w:t>
      </w:r>
      <w:proofErr w:type="spellStart"/>
      <w:r w:rsidR="005B5CD8">
        <w:rPr>
          <w:rFonts w:asciiTheme="majorBidi" w:hAnsiTheme="majorBidi" w:cstheme="majorBidi"/>
          <w:sz w:val="20"/>
          <w:szCs w:val="20"/>
        </w:rPr>
        <w:t>Lec</w:t>
      </w:r>
      <w:proofErr w:type="spellEnd"/>
      <w:r w:rsidR="005B5CD8">
        <w:rPr>
          <w:rFonts w:asciiTheme="majorBidi" w:hAnsiTheme="majorBidi" w:cstheme="majorBidi"/>
          <w:sz w:val="20"/>
          <w:szCs w:val="20"/>
        </w:rPr>
        <w:t xml:space="preserve"> </w:t>
      </w:r>
      <w:r w:rsidRPr="005602F5">
        <w:rPr>
          <w:rFonts w:asciiTheme="majorBidi" w:hAnsiTheme="majorBidi" w:cstheme="majorBidi"/>
          <w:sz w:val="20"/>
          <w:szCs w:val="20"/>
        </w:rPr>
        <w:t>a démontré un effet anticoagulant lié à son interaction avec les facteurs de coagula</w:t>
      </w:r>
      <w:r w:rsidR="00A65306" w:rsidRPr="005602F5">
        <w:rPr>
          <w:rFonts w:asciiTheme="majorBidi" w:hAnsiTheme="majorBidi" w:cstheme="majorBidi"/>
          <w:sz w:val="20"/>
          <w:szCs w:val="20"/>
        </w:rPr>
        <w:t>tio</w:t>
      </w:r>
      <w:r w:rsidR="00EB73BB">
        <w:rPr>
          <w:rFonts w:asciiTheme="majorBidi" w:hAnsiTheme="majorBidi" w:cstheme="majorBidi"/>
          <w:sz w:val="20"/>
          <w:szCs w:val="20"/>
        </w:rPr>
        <w:t xml:space="preserve">n </w:t>
      </w:r>
      <w:proofErr w:type="spellStart"/>
      <w:r w:rsidR="00EB73BB">
        <w:rPr>
          <w:rFonts w:asciiTheme="majorBidi" w:hAnsiTheme="majorBidi" w:cstheme="majorBidi"/>
          <w:sz w:val="20"/>
          <w:szCs w:val="20"/>
        </w:rPr>
        <w:t>FXa</w:t>
      </w:r>
      <w:proofErr w:type="spellEnd"/>
      <w:r w:rsidR="00EB73BB">
        <w:rPr>
          <w:rFonts w:asciiTheme="majorBidi" w:hAnsiTheme="majorBidi" w:cstheme="majorBidi"/>
          <w:sz w:val="20"/>
          <w:szCs w:val="20"/>
        </w:rPr>
        <w:t xml:space="preserve"> et </w:t>
      </w:r>
      <w:proofErr w:type="spellStart"/>
      <w:r w:rsidR="00EB73BB">
        <w:rPr>
          <w:rFonts w:asciiTheme="majorBidi" w:hAnsiTheme="majorBidi" w:cstheme="majorBidi"/>
          <w:sz w:val="20"/>
          <w:szCs w:val="20"/>
        </w:rPr>
        <w:t>FIXa</w:t>
      </w:r>
      <w:proofErr w:type="spellEnd"/>
      <w:r w:rsidR="00EB73BB">
        <w:rPr>
          <w:rFonts w:asciiTheme="majorBidi" w:hAnsiTheme="majorBidi" w:cstheme="majorBidi"/>
          <w:sz w:val="20"/>
          <w:szCs w:val="20"/>
        </w:rPr>
        <w:t xml:space="preserve">, et </w:t>
      </w:r>
      <w:r w:rsidRPr="005602F5">
        <w:rPr>
          <w:rFonts w:asciiTheme="majorBidi" w:hAnsiTheme="majorBidi" w:cstheme="majorBidi"/>
          <w:sz w:val="20"/>
          <w:szCs w:val="20"/>
        </w:rPr>
        <w:t xml:space="preserve">un effet antiagrégant des plaquettes activées par </w:t>
      </w:r>
      <w:r w:rsidR="00432E4C">
        <w:rPr>
          <w:rFonts w:asciiTheme="majorBidi" w:hAnsiTheme="majorBidi" w:cstheme="majorBidi"/>
          <w:sz w:val="20"/>
          <w:szCs w:val="20"/>
        </w:rPr>
        <w:t>les</w:t>
      </w:r>
      <w:r w:rsidRPr="005602F5">
        <w:rPr>
          <w:rFonts w:asciiTheme="majorBidi" w:hAnsiTheme="majorBidi" w:cstheme="majorBidi"/>
          <w:sz w:val="20"/>
          <w:szCs w:val="20"/>
        </w:rPr>
        <w:t xml:space="preserve"> agoni</w:t>
      </w:r>
      <w:r w:rsidR="002F68FB" w:rsidRPr="005602F5">
        <w:rPr>
          <w:rFonts w:asciiTheme="majorBidi" w:hAnsiTheme="majorBidi" w:cstheme="majorBidi"/>
          <w:sz w:val="20"/>
          <w:szCs w:val="20"/>
        </w:rPr>
        <w:t>s</w:t>
      </w:r>
      <w:r w:rsidRPr="005602F5">
        <w:rPr>
          <w:rFonts w:asciiTheme="majorBidi" w:hAnsiTheme="majorBidi" w:cstheme="majorBidi"/>
          <w:sz w:val="20"/>
          <w:szCs w:val="20"/>
        </w:rPr>
        <w:t xml:space="preserve">tes (ADP, fibrinogène et acide arachidonique). Ceci suggère l’interaction de la Cc-Lec avec </w:t>
      </w:r>
      <w:r w:rsidR="00EB73BB">
        <w:rPr>
          <w:rFonts w:asciiTheme="majorBidi" w:hAnsiTheme="majorBidi" w:cstheme="majorBidi"/>
          <w:sz w:val="20"/>
          <w:szCs w:val="20"/>
        </w:rPr>
        <w:t>leurs</w:t>
      </w:r>
      <w:r w:rsidRPr="005602F5">
        <w:rPr>
          <w:rFonts w:asciiTheme="majorBidi" w:hAnsiTheme="majorBidi" w:cstheme="majorBidi"/>
          <w:sz w:val="20"/>
          <w:szCs w:val="20"/>
        </w:rPr>
        <w:t xml:space="preserve"> récep</w:t>
      </w:r>
      <w:r w:rsidR="00EB73BB">
        <w:rPr>
          <w:rFonts w:asciiTheme="majorBidi" w:hAnsiTheme="majorBidi" w:cstheme="majorBidi"/>
          <w:sz w:val="20"/>
          <w:szCs w:val="20"/>
        </w:rPr>
        <w:t>teurs plaquettaires spécifiques.</w:t>
      </w:r>
    </w:p>
    <w:p w:rsidR="000C27AD" w:rsidRPr="005602F5" w:rsidRDefault="000C27AD" w:rsidP="000C27AD">
      <w:pPr>
        <w:spacing w:after="0"/>
        <w:jc w:val="both"/>
        <w:rPr>
          <w:rFonts w:asciiTheme="majorBidi" w:hAnsiTheme="majorBidi" w:cstheme="majorBidi"/>
          <w:sz w:val="20"/>
          <w:szCs w:val="20"/>
        </w:rPr>
      </w:pPr>
      <w:bookmarkStart w:id="0" w:name="_GoBack"/>
      <w:bookmarkEnd w:id="0"/>
    </w:p>
    <w:sectPr w:rsidR="000C27AD" w:rsidRPr="005602F5" w:rsidSect="005602F5">
      <w:pgSz w:w="11906" w:h="16838"/>
      <w:pgMar w:top="1417" w:right="1133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A5D414A"/>
    <w:multiLevelType w:val="hybridMultilevel"/>
    <w:tmpl w:val="A5F0757A"/>
    <w:lvl w:ilvl="0" w:tplc="4CE0AF3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E3A9F"/>
    <w:rsid w:val="000232A5"/>
    <w:rsid w:val="000C27AD"/>
    <w:rsid w:val="000D0141"/>
    <w:rsid w:val="00122A52"/>
    <w:rsid w:val="001546A5"/>
    <w:rsid w:val="001D22F2"/>
    <w:rsid w:val="001E7E18"/>
    <w:rsid w:val="00252C7C"/>
    <w:rsid w:val="002745A3"/>
    <w:rsid w:val="00295010"/>
    <w:rsid w:val="002F68FB"/>
    <w:rsid w:val="003B4BB9"/>
    <w:rsid w:val="003E3A9F"/>
    <w:rsid w:val="003E3AD8"/>
    <w:rsid w:val="00432E4C"/>
    <w:rsid w:val="004A3A39"/>
    <w:rsid w:val="005602F5"/>
    <w:rsid w:val="005716D6"/>
    <w:rsid w:val="00575C82"/>
    <w:rsid w:val="005B5CD8"/>
    <w:rsid w:val="005C7FFE"/>
    <w:rsid w:val="006963D8"/>
    <w:rsid w:val="006C05C1"/>
    <w:rsid w:val="007A30F0"/>
    <w:rsid w:val="0082264B"/>
    <w:rsid w:val="008609EF"/>
    <w:rsid w:val="00906ED1"/>
    <w:rsid w:val="009315FC"/>
    <w:rsid w:val="009B6602"/>
    <w:rsid w:val="009E201E"/>
    <w:rsid w:val="00A65306"/>
    <w:rsid w:val="00B16112"/>
    <w:rsid w:val="00B82E59"/>
    <w:rsid w:val="00C0788D"/>
    <w:rsid w:val="00C53783"/>
    <w:rsid w:val="00D740F0"/>
    <w:rsid w:val="00D87B7E"/>
    <w:rsid w:val="00E55337"/>
    <w:rsid w:val="00E57A43"/>
    <w:rsid w:val="00E80ABC"/>
    <w:rsid w:val="00EA7AE7"/>
    <w:rsid w:val="00EB73BB"/>
    <w:rsid w:val="00F13FFB"/>
    <w:rsid w:val="00F23A10"/>
    <w:rsid w:val="00F9759F"/>
    <w:rsid w:val="00FD2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F60758-C4AD-495F-BB5B-FDFAA6306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3A9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link w:val="TitreCar"/>
    <w:qFormat/>
    <w:rsid w:val="003E3A9F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24"/>
      <w:lang w:eastAsia="fr-FR"/>
    </w:rPr>
  </w:style>
  <w:style w:type="character" w:customStyle="1" w:styleId="TitreCar">
    <w:name w:val="Titre Car"/>
    <w:basedOn w:val="Policepardfaut"/>
    <w:link w:val="Titre"/>
    <w:rsid w:val="003E3A9F"/>
    <w:rPr>
      <w:rFonts w:ascii="Times New Roman" w:eastAsia="Times New Roman" w:hAnsi="Times New Roman" w:cs="Times New Roman"/>
      <w:b/>
      <w:bCs/>
      <w:sz w:val="36"/>
      <w:szCs w:val="24"/>
      <w:lang w:eastAsia="fr-FR"/>
    </w:rPr>
  </w:style>
  <w:style w:type="paragraph" w:styleId="Sous-titre">
    <w:name w:val="Subtitle"/>
    <w:basedOn w:val="Normal"/>
    <w:link w:val="Sous-titreCar"/>
    <w:qFormat/>
    <w:rsid w:val="003E3A9F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fr-FR"/>
    </w:rPr>
  </w:style>
  <w:style w:type="character" w:customStyle="1" w:styleId="Sous-titreCar">
    <w:name w:val="Sous-titre Car"/>
    <w:basedOn w:val="Policepardfaut"/>
    <w:link w:val="Sous-titre"/>
    <w:rsid w:val="003E3A9F"/>
    <w:rPr>
      <w:rFonts w:ascii="Times New Roman" w:eastAsia="Times New Roman" w:hAnsi="Times New Roman" w:cs="Times New Roman"/>
      <w:b/>
      <w:bCs/>
      <w:sz w:val="28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E3A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E3A9F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6C05C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6C05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141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</dc:creator>
  <cp:lastModifiedBy>naima</cp:lastModifiedBy>
  <cp:revision>13</cp:revision>
  <cp:lastPrinted>2017-04-24T08:19:00Z</cp:lastPrinted>
  <dcterms:created xsi:type="dcterms:W3CDTF">2017-04-23T16:23:00Z</dcterms:created>
  <dcterms:modified xsi:type="dcterms:W3CDTF">2017-11-28T10:35:00Z</dcterms:modified>
</cp:coreProperties>
</file>