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4A2D" w:rsidRPr="009B2E44" w:rsidRDefault="00661801" w:rsidP="005E0DEF">
      <w:pPr>
        <w:spacing w:after="0"/>
        <w:jc w:val="both"/>
        <w:rPr>
          <w:rFonts w:ascii="Times New Roman" w:hAnsi="Times New Roman" w:cs="Times New Roman"/>
          <w:b/>
          <w:bCs/>
          <w:sz w:val="28"/>
          <w:szCs w:val="28"/>
        </w:rPr>
      </w:pPr>
      <w:r w:rsidRPr="009B2E44">
        <w:rPr>
          <w:rFonts w:ascii="Times New Roman" w:hAnsi="Times New Roman" w:cs="Times New Roman"/>
          <w:b/>
          <w:bCs/>
          <w:sz w:val="28"/>
          <w:szCs w:val="28"/>
        </w:rPr>
        <w:t xml:space="preserve">Résumé  </w:t>
      </w:r>
      <w:r w:rsidR="003441E1">
        <w:rPr>
          <w:rFonts w:ascii="Times New Roman" w:hAnsi="Times New Roman" w:cs="Times New Roman"/>
          <w:b/>
          <w:bCs/>
          <w:sz w:val="28"/>
          <w:szCs w:val="28"/>
        </w:rPr>
        <w:t xml:space="preserve"> </w:t>
      </w:r>
    </w:p>
    <w:p w:rsidR="0074666F" w:rsidRPr="0074666F" w:rsidRDefault="0074666F" w:rsidP="00A31AF8">
      <w:pPr>
        <w:jc w:val="both"/>
        <w:rPr>
          <w:rFonts w:ascii="Times New Roman" w:hAnsi="Times New Roman" w:cs="Times New Roman"/>
          <w:sz w:val="24"/>
          <w:szCs w:val="24"/>
        </w:rPr>
      </w:pPr>
      <w:r w:rsidRPr="0074666F">
        <w:rPr>
          <w:rFonts w:ascii="Times New Roman" w:hAnsi="Times New Roman" w:cs="Times New Roman"/>
          <w:sz w:val="24"/>
          <w:szCs w:val="24"/>
        </w:rPr>
        <w:t xml:space="preserve">Le maintien de la qualité de l’eau est une préoccupation </w:t>
      </w:r>
      <w:r>
        <w:rPr>
          <w:rFonts w:ascii="Times New Roman" w:hAnsi="Times New Roman" w:cs="Times New Roman"/>
          <w:sz w:val="24"/>
          <w:szCs w:val="24"/>
        </w:rPr>
        <w:t>majeure</w:t>
      </w:r>
      <w:r w:rsidR="00716667">
        <w:rPr>
          <w:rFonts w:ascii="Times New Roman" w:hAnsi="Times New Roman" w:cs="Times New Roman"/>
          <w:sz w:val="24"/>
          <w:szCs w:val="24"/>
        </w:rPr>
        <w:t>. L’Algérie se distingue par</w:t>
      </w:r>
      <w:r w:rsidR="00716667" w:rsidRPr="00B74A3B">
        <w:rPr>
          <w:rFonts w:ascii="Times New Roman" w:hAnsi="Times New Roman" w:cs="Times New Roman"/>
          <w:sz w:val="24"/>
          <w:szCs w:val="24"/>
        </w:rPr>
        <w:t xml:space="preserve"> l’occupation anarchique de l’espace par des activités tant industrielles qu’agricoles</w:t>
      </w:r>
      <w:r w:rsidR="00716667">
        <w:rPr>
          <w:rFonts w:ascii="Times New Roman" w:hAnsi="Times New Roman" w:cs="Times New Roman"/>
          <w:sz w:val="24"/>
          <w:szCs w:val="24"/>
        </w:rPr>
        <w:t>. Cette occupation</w:t>
      </w:r>
      <w:r w:rsidR="00716667" w:rsidRPr="00B74A3B">
        <w:rPr>
          <w:rFonts w:ascii="Times New Roman" w:hAnsi="Times New Roman" w:cs="Times New Roman"/>
          <w:sz w:val="24"/>
          <w:szCs w:val="24"/>
        </w:rPr>
        <w:t xml:space="preserve"> a engendré une dégradation des écosystème</w:t>
      </w:r>
      <w:r w:rsidR="00A31AF8">
        <w:rPr>
          <w:rFonts w:ascii="Times New Roman" w:hAnsi="Times New Roman" w:cs="Times New Roman"/>
          <w:sz w:val="24"/>
          <w:szCs w:val="24"/>
        </w:rPr>
        <w:t>s aquatiques. Les cours d’eau</w:t>
      </w:r>
      <w:r w:rsidR="00CE685F">
        <w:rPr>
          <w:rFonts w:ascii="Times New Roman" w:hAnsi="Times New Roman" w:cs="Times New Roman"/>
          <w:sz w:val="24"/>
          <w:szCs w:val="24"/>
        </w:rPr>
        <w:t xml:space="preserve"> particulièrement, </w:t>
      </w:r>
      <w:r w:rsidR="00716667" w:rsidRPr="00B74A3B">
        <w:rPr>
          <w:rFonts w:ascii="Times New Roman" w:hAnsi="Times New Roman" w:cs="Times New Roman"/>
          <w:sz w:val="24"/>
          <w:szCs w:val="24"/>
        </w:rPr>
        <w:t>reçoivent le long de leur</w:t>
      </w:r>
      <w:r w:rsidR="00716667" w:rsidRPr="00ED5127">
        <w:rPr>
          <w:rFonts w:ascii="Times New Roman" w:hAnsi="Times New Roman" w:cs="Times New Roman"/>
          <w:sz w:val="24"/>
          <w:szCs w:val="24"/>
        </w:rPr>
        <w:t>s</w:t>
      </w:r>
      <w:r w:rsidR="00CE685F">
        <w:rPr>
          <w:rFonts w:ascii="Times New Roman" w:hAnsi="Times New Roman" w:cs="Times New Roman"/>
          <w:sz w:val="24"/>
          <w:szCs w:val="24"/>
        </w:rPr>
        <w:t xml:space="preserve"> parcours plusieurs </w:t>
      </w:r>
      <w:r w:rsidR="00716667" w:rsidRPr="00B74A3B">
        <w:rPr>
          <w:rFonts w:ascii="Times New Roman" w:hAnsi="Times New Roman" w:cs="Times New Roman"/>
          <w:sz w:val="24"/>
          <w:szCs w:val="24"/>
        </w:rPr>
        <w:t>perturbations</w:t>
      </w:r>
      <w:r w:rsidR="00CE685F">
        <w:rPr>
          <w:rFonts w:ascii="Times New Roman" w:hAnsi="Times New Roman" w:cs="Times New Roman"/>
          <w:sz w:val="24"/>
          <w:szCs w:val="24"/>
        </w:rPr>
        <w:t xml:space="preserve"> </w:t>
      </w:r>
      <w:r w:rsidR="00716667">
        <w:rPr>
          <w:rFonts w:ascii="Times New Roman" w:hAnsi="Times New Roman" w:cs="Times New Roman"/>
          <w:sz w:val="24"/>
          <w:szCs w:val="24"/>
        </w:rPr>
        <w:t>environnementales et hydromorphologiques</w:t>
      </w:r>
      <w:r w:rsidR="00716667" w:rsidRPr="00B74A3B">
        <w:rPr>
          <w:rFonts w:ascii="Times New Roman" w:hAnsi="Times New Roman" w:cs="Times New Roman"/>
          <w:sz w:val="24"/>
          <w:szCs w:val="24"/>
        </w:rPr>
        <w:t xml:space="preserve">: rejets urbains, industriels, agricoles et des activités récréatives. </w:t>
      </w:r>
      <w:r w:rsidR="0071666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5B7666" w:rsidRDefault="00716667" w:rsidP="00F50AA9">
      <w:pPr>
        <w:spacing w:after="0"/>
        <w:ind w:left="1" w:firstLine="1"/>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Les différentes analyses et métriques exploitées ont montré l’effet des perturbations sur les organismes aquatiques, en particulier les macroinvertébrés benthiques et les odonates adultes. Ces perturbations agissent sur leurs distributions et leurs abondances, dans les cas sévères, elles peuvent éliminer complètement les groupes polluosensibles. </w:t>
      </w:r>
    </w:p>
    <w:p w:rsidR="0000322D" w:rsidRDefault="0000322D" w:rsidP="00F50AA9">
      <w:pPr>
        <w:spacing w:after="0"/>
        <w:ind w:left="1" w:firstLine="1"/>
        <w:jc w:val="both"/>
        <w:rPr>
          <w:rFonts w:ascii="Times New Roman" w:eastAsia="Calibri" w:hAnsi="Times New Roman" w:cs="Times New Roman"/>
          <w:bCs/>
          <w:sz w:val="24"/>
          <w:szCs w:val="24"/>
        </w:rPr>
      </w:pPr>
      <w:r>
        <w:rPr>
          <w:rFonts w:ascii="Times New Roman" w:eastAsia="Calibri" w:hAnsi="Times New Roman" w:cs="Times New Roman"/>
          <w:bCs/>
          <w:sz w:val="24"/>
          <w:szCs w:val="24"/>
        </w:rPr>
        <w:t>Nous avons récoltés 47425 individus de macroinvertébrés benthiques dans les oueds sélectionnés pendant la période d’étude</w:t>
      </w:r>
      <w:r w:rsidR="00CE685F">
        <w:rPr>
          <w:rFonts w:ascii="Times New Roman" w:eastAsia="Calibri" w:hAnsi="Times New Roman" w:cs="Times New Roman"/>
          <w:bCs/>
          <w:sz w:val="24"/>
          <w:szCs w:val="24"/>
        </w:rPr>
        <w:t> : oued El Harrach, oued Seybouse et oued Tafna</w:t>
      </w:r>
      <w:r>
        <w:rPr>
          <w:rFonts w:ascii="Times New Roman" w:eastAsia="Calibri" w:hAnsi="Times New Roman" w:cs="Times New Roman"/>
          <w:bCs/>
          <w:sz w:val="24"/>
          <w:szCs w:val="24"/>
        </w:rPr>
        <w:t xml:space="preserve">. Leur répartition est hétérogène entre les trois oueds et aussi entre l’amont et l’aval de chacun d’eux. </w:t>
      </w:r>
    </w:p>
    <w:p w:rsidR="005E0DEF" w:rsidRPr="005E0DEF" w:rsidRDefault="00A31AF8" w:rsidP="00FB4774">
      <w:pPr>
        <w:spacing w:after="0"/>
        <w:jc w:val="both"/>
        <w:rPr>
          <w:rFonts w:ascii="Times New Roman" w:hAnsi="Times New Roman" w:cs="Times New Roman"/>
          <w:sz w:val="24"/>
          <w:szCs w:val="24"/>
        </w:rPr>
      </w:pPr>
      <w:r>
        <w:rPr>
          <w:rFonts w:ascii="Times New Roman" w:hAnsi="Times New Roman" w:cs="Times New Roman"/>
          <w:sz w:val="24"/>
          <w:szCs w:val="24"/>
        </w:rPr>
        <w:t>Les cours d’eau</w:t>
      </w:r>
      <w:r w:rsidR="005E0DEF">
        <w:rPr>
          <w:rFonts w:ascii="Times New Roman" w:hAnsi="Times New Roman" w:cs="Times New Roman"/>
          <w:sz w:val="24"/>
          <w:szCs w:val="24"/>
        </w:rPr>
        <w:t xml:space="preserve"> étudiés</w:t>
      </w:r>
      <w:r w:rsidR="005E0DEF" w:rsidRPr="002F67FF">
        <w:rPr>
          <w:rFonts w:ascii="Times New Roman" w:hAnsi="Times New Roman" w:cs="Times New Roman"/>
          <w:sz w:val="24"/>
          <w:szCs w:val="24"/>
        </w:rPr>
        <w:t xml:space="preserve"> présente</w:t>
      </w:r>
      <w:r w:rsidR="005E0DEF">
        <w:rPr>
          <w:rFonts w:ascii="Times New Roman" w:hAnsi="Times New Roman" w:cs="Times New Roman"/>
          <w:sz w:val="24"/>
          <w:szCs w:val="24"/>
        </w:rPr>
        <w:t>nt des</w:t>
      </w:r>
      <w:r w:rsidR="005E0DEF" w:rsidRPr="002F67FF">
        <w:rPr>
          <w:rFonts w:ascii="Times New Roman" w:hAnsi="Times New Roman" w:cs="Times New Roman"/>
          <w:sz w:val="24"/>
          <w:szCs w:val="24"/>
        </w:rPr>
        <w:t xml:space="preserve"> secteurs de pollution </w:t>
      </w:r>
      <w:r w:rsidR="005E0DEF">
        <w:rPr>
          <w:rFonts w:ascii="Times New Roman" w:hAnsi="Times New Roman" w:cs="Times New Roman"/>
          <w:sz w:val="24"/>
          <w:szCs w:val="24"/>
        </w:rPr>
        <w:t>différents.</w:t>
      </w:r>
      <w:r w:rsidR="005E0DEF" w:rsidRPr="002F67FF">
        <w:rPr>
          <w:rFonts w:ascii="Times New Roman" w:hAnsi="Times New Roman" w:cs="Times New Roman"/>
          <w:sz w:val="24"/>
          <w:szCs w:val="24"/>
        </w:rPr>
        <w:t xml:space="preserve"> </w:t>
      </w:r>
      <w:r w:rsidR="005E0DEF">
        <w:rPr>
          <w:rFonts w:ascii="Times New Roman" w:hAnsi="Times New Roman" w:cs="Times New Roman"/>
          <w:sz w:val="24"/>
          <w:szCs w:val="24"/>
        </w:rPr>
        <w:t>L</w:t>
      </w:r>
      <w:r w:rsidR="005E0DEF">
        <w:rPr>
          <w:rFonts w:ascii="Times New Roman" w:hAnsi="Times New Roman" w:cs="Times New Roman"/>
          <w:sz w:val="24"/>
        </w:rPr>
        <w:t>es degrés de minéralisation et des matières oxydables sont les altérations les plus pertinentes dans l’évaluation de la qualité des eaux et l’identification des types</w:t>
      </w:r>
      <w:r w:rsidR="00FB4774" w:rsidRPr="00FB4774">
        <w:rPr>
          <w:rFonts w:ascii="Times New Roman" w:hAnsi="Times New Roman" w:cs="Times New Roman"/>
          <w:sz w:val="24"/>
        </w:rPr>
        <w:t xml:space="preserve"> </w:t>
      </w:r>
      <w:r w:rsidR="005E0DEF">
        <w:rPr>
          <w:rFonts w:ascii="Times New Roman" w:hAnsi="Times New Roman" w:cs="Times New Roman"/>
          <w:sz w:val="24"/>
        </w:rPr>
        <w:t>de pollution</w:t>
      </w:r>
      <w:r w:rsidR="00FB4774">
        <w:rPr>
          <w:rFonts w:ascii="Times New Roman" w:hAnsi="Times New Roman" w:cs="Times New Roman"/>
          <w:sz w:val="24"/>
        </w:rPr>
        <w:t xml:space="preserve"> organique</w:t>
      </w:r>
      <w:r w:rsidR="005E0DEF">
        <w:rPr>
          <w:rFonts w:ascii="Times New Roman" w:hAnsi="Times New Roman" w:cs="Times New Roman"/>
          <w:sz w:val="24"/>
        </w:rPr>
        <w:t xml:space="preserve"> observée dans les oueds étudiés et qui sont d’origine </w:t>
      </w:r>
      <w:r w:rsidR="00F50AA9">
        <w:rPr>
          <w:rFonts w:ascii="Times New Roman" w:hAnsi="Times New Roman" w:cs="Times New Roman"/>
          <w:sz w:val="24"/>
        </w:rPr>
        <w:t>notammen</w:t>
      </w:r>
      <w:r w:rsidR="005E0DEF">
        <w:rPr>
          <w:rFonts w:ascii="Times New Roman" w:hAnsi="Times New Roman" w:cs="Times New Roman"/>
          <w:sz w:val="24"/>
        </w:rPr>
        <w:t xml:space="preserve">t industrielle et agricole.    </w:t>
      </w:r>
    </w:p>
    <w:p w:rsidR="005E0DEF" w:rsidRDefault="005E0DEF" w:rsidP="0000322D">
      <w:pPr>
        <w:spacing w:after="0"/>
        <w:ind w:left="1" w:firstLine="1"/>
        <w:jc w:val="both"/>
        <w:rPr>
          <w:rFonts w:ascii="Times New Roman" w:eastAsia="Calibri" w:hAnsi="Times New Roman" w:cs="Times New Roman"/>
          <w:bCs/>
          <w:sz w:val="24"/>
          <w:szCs w:val="24"/>
        </w:rPr>
      </w:pPr>
    </w:p>
    <w:p w:rsidR="00716667" w:rsidRPr="005E0DEF" w:rsidRDefault="0000322D" w:rsidP="00FB4774">
      <w:pPr>
        <w:spacing w:after="0"/>
        <w:ind w:left="1" w:firstLine="1"/>
        <w:jc w:val="both"/>
        <w:rPr>
          <w:rFonts w:ascii="Times New Roman" w:eastAsia="Calibri" w:hAnsi="Times New Roman" w:cs="Times New Roman"/>
          <w:bCs/>
          <w:sz w:val="24"/>
          <w:szCs w:val="24"/>
        </w:rPr>
      </w:pPr>
      <w:r>
        <w:rPr>
          <w:rFonts w:ascii="Times New Roman" w:eastAsia="Calibri" w:hAnsi="Times New Roman" w:cs="Times New Roman"/>
          <w:bCs/>
          <w:sz w:val="24"/>
          <w:szCs w:val="24"/>
        </w:rPr>
        <w:t>L</w:t>
      </w:r>
      <w:r w:rsidR="00716667">
        <w:rPr>
          <w:rFonts w:ascii="Times New Roman" w:eastAsia="Calibri" w:hAnsi="Times New Roman" w:cs="Times New Roman"/>
          <w:bCs/>
          <w:sz w:val="24"/>
          <w:szCs w:val="24"/>
        </w:rPr>
        <w:t>es indices biotiques</w:t>
      </w:r>
      <w:r>
        <w:rPr>
          <w:rFonts w:ascii="Times New Roman" w:eastAsia="Calibri" w:hAnsi="Times New Roman" w:cs="Times New Roman"/>
          <w:bCs/>
          <w:sz w:val="24"/>
          <w:szCs w:val="24"/>
        </w:rPr>
        <w:t xml:space="preserve"> utilisés, les E</w:t>
      </w:r>
      <w:r w:rsidR="00537DB7">
        <w:rPr>
          <w:rFonts w:ascii="Times New Roman" w:eastAsia="Calibri" w:hAnsi="Times New Roman" w:cs="Times New Roman"/>
          <w:bCs/>
          <w:sz w:val="24"/>
          <w:szCs w:val="24"/>
        </w:rPr>
        <w:t xml:space="preserve">phéméroptères, </w:t>
      </w:r>
      <w:r>
        <w:rPr>
          <w:rFonts w:ascii="Times New Roman" w:eastAsia="Calibri" w:hAnsi="Times New Roman" w:cs="Times New Roman"/>
          <w:bCs/>
          <w:sz w:val="24"/>
          <w:szCs w:val="24"/>
        </w:rPr>
        <w:t>P</w:t>
      </w:r>
      <w:r w:rsidR="00537DB7">
        <w:rPr>
          <w:rFonts w:ascii="Times New Roman" w:eastAsia="Calibri" w:hAnsi="Times New Roman" w:cs="Times New Roman"/>
          <w:bCs/>
          <w:sz w:val="24"/>
          <w:szCs w:val="24"/>
        </w:rPr>
        <w:t xml:space="preserve">lécoptères, </w:t>
      </w:r>
      <w:r>
        <w:rPr>
          <w:rFonts w:ascii="Times New Roman" w:eastAsia="Calibri" w:hAnsi="Times New Roman" w:cs="Times New Roman"/>
          <w:bCs/>
          <w:sz w:val="24"/>
          <w:szCs w:val="24"/>
        </w:rPr>
        <w:t>T</w:t>
      </w:r>
      <w:r w:rsidR="00537DB7">
        <w:rPr>
          <w:rFonts w:ascii="Times New Roman" w:eastAsia="Calibri" w:hAnsi="Times New Roman" w:cs="Times New Roman"/>
          <w:bCs/>
          <w:sz w:val="24"/>
          <w:szCs w:val="24"/>
        </w:rPr>
        <w:t>richoptères « EPT »</w:t>
      </w:r>
      <w:r>
        <w:rPr>
          <w:rFonts w:ascii="Times New Roman" w:eastAsia="Calibri" w:hAnsi="Times New Roman" w:cs="Times New Roman"/>
          <w:bCs/>
          <w:sz w:val="24"/>
          <w:szCs w:val="24"/>
        </w:rPr>
        <w:t xml:space="preserve"> et les Chironomidae ont pu déterminer la qualité des eaux des milieux étudiés. Ils ont prouvé leur performance à évaluer la qualité des eaux et la relation entre la présence des EPT et Chironomidae avec les calculs des indices biotiques utilisés. Cela est expliqué par les coefficients de détermination calculé</w:t>
      </w:r>
      <w:r w:rsidR="00A31AF8">
        <w:rPr>
          <w:rFonts w:ascii="Times New Roman" w:eastAsia="Calibri" w:hAnsi="Times New Roman" w:cs="Times New Roman"/>
          <w:bCs/>
          <w:sz w:val="24"/>
          <w:szCs w:val="24"/>
        </w:rPr>
        <w:t>s</w:t>
      </w:r>
      <w:r>
        <w:rPr>
          <w:rFonts w:ascii="Times New Roman" w:eastAsia="Calibri" w:hAnsi="Times New Roman" w:cs="Times New Roman"/>
          <w:bCs/>
          <w:sz w:val="24"/>
          <w:szCs w:val="24"/>
        </w:rPr>
        <w:t> : R</w:t>
      </w:r>
      <w:r w:rsidRPr="0000322D">
        <w:rPr>
          <w:rFonts w:ascii="Times New Roman" w:eastAsia="Calibri" w:hAnsi="Times New Roman" w:cs="Times New Roman"/>
          <w:bCs/>
          <w:sz w:val="24"/>
          <w:szCs w:val="24"/>
          <w:vertAlign w:val="superscript"/>
        </w:rPr>
        <w:t>2</w:t>
      </w:r>
      <w:r>
        <w:rPr>
          <w:rFonts w:ascii="Times New Roman" w:eastAsia="Calibri" w:hAnsi="Times New Roman" w:cs="Times New Roman"/>
          <w:bCs/>
          <w:sz w:val="24"/>
          <w:szCs w:val="24"/>
        </w:rPr>
        <w:t>=</w:t>
      </w:r>
      <w:r w:rsidRPr="00A51E53">
        <w:rPr>
          <w:rFonts w:ascii="Times New Roman" w:hAnsi="Times New Roman" w:cs="Times New Roman"/>
          <w:sz w:val="24"/>
          <w:szCs w:val="24"/>
        </w:rPr>
        <w:t>0.948</w:t>
      </w:r>
      <w:r>
        <w:rPr>
          <w:rFonts w:ascii="Times New Roman" w:hAnsi="Times New Roman" w:cs="Times New Roman"/>
          <w:sz w:val="24"/>
          <w:szCs w:val="24"/>
        </w:rPr>
        <w:t>2 (P-value= 0.000088</w:t>
      </w:r>
      <w:r w:rsidRPr="00A51E53">
        <w:rPr>
          <w:rFonts w:ascii="Times New Roman" w:hAnsi="Times New Roman" w:cs="Times New Roman"/>
          <w:sz w:val="24"/>
          <w:szCs w:val="24"/>
        </w:rPr>
        <w:t>)</w:t>
      </w:r>
      <w:r>
        <w:rPr>
          <w:rFonts w:ascii="Times New Roman" w:eastAsia="Calibri" w:hAnsi="Times New Roman" w:cs="Times New Roman"/>
          <w:bCs/>
          <w:sz w:val="24"/>
          <w:szCs w:val="24"/>
        </w:rPr>
        <w:t xml:space="preserve"> qui </w:t>
      </w:r>
      <w:r w:rsidR="00FB4774">
        <w:rPr>
          <w:rFonts w:ascii="Times New Roman" w:eastAsia="Calibri" w:hAnsi="Times New Roman" w:cs="Times New Roman"/>
          <w:bCs/>
          <w:sz w:val="24"/>
          <w:szCs w:val="24"/>
        </w:rPr>
        <w:t>montr</w:t>
      </w:r>
      <w:r>
        <w:rPr>
          <w:rFonts w:ascii="Times New Roman" w:eastAsia="Calibri" w:hAnsi="Times New Roman" w:cs="Times New Roman"/>
          <w:bCs/>
          <w:sz w:val="24"/>
          <w:szCs w:val="24"/>
        </w:rPr>
        <w:t xml:space="preserve">e la relation </w:t>
      </w:r>
      <w:r w:rsidR="005E0DEF">
        <w:rPr>
          <w:rFonts w:ascii="Times New Roman" w:eastAsia="Calibri" w:hAnsi="Times New Roman" w:cs="Times New Roman"/>
          <w:bCs/>
          <w:sz w:val="24"/>
          <w:szCs w:val="24"/>
        </w:rPr>
        <w:t xml:space="preserve">de </w:t>
      </w:r>
      <w:r>
        <w:rPr>
          <w:rFonts w:ascii="Times New Roman" w:eastAsia="Calibri" w:hAnsi="Times New Roman" w:cs="Times New Roman"/>
          <w:bCs/>
          <w:sz w:val="24"/>
          <w:szCs w:val="24"/>
        </w:rPr>
        <w:t xml:space="preserve">l’évolution de BMWP’ par rapport à la richesse taxonomique totale, celle des EPT et l’abondance des Chironomidae. </w:t>
      </w:r>
      <w:r w:rsidR="005E0DEF">
        <w:rPr>
          <w:rFonts w:ascii="Times New Roman" w:eastAsia="Calibri" w:hAnsi="Times New Roman" w:cs="Times New Roman"/>
          <w:bCs/>
          <w:sz w:val="24"/>
          <w:szCs w:val="24"/>
        </w:rPr>
        <w:t>Et</w:t>
      </w:r>
      <w:r w:rsidR="005E0DEF" w:rsidRPr="005E0DEF">
        <w:rPr>
          <w:rFonts w:ascii="Times New Roman" w:eastAsia="Calibri" w:hAnsi="Times New Roman" w:cs="Times New Roman"/>
          <w:bCs/>
          <w:sz w:val="24"/>
          <w:szCs w:val="24"/>
        </w:rPr>
        <w:t xml:space="preserve"> </w:t>
      </w:r>
      <w:r w:rsidRPr="005E0DEF">
        <w:rPr>
          <w:rFonts w:ascii="Times New Roman" w:hAnsi="Times New Roman" w:cs="Times New Roman"/>
          <w:bCs/>
          <w:sz w:val="24"/>
          <w:szCs w:val="24"/>
        </w:rPr>
        <w:t>R</w:t>
      </w:r>
      <w:r w:rsidRPr="005E0DEF">
        <w:rPr>
          <w:rFonts w:ascii="Times New Roman" w:hAnsi="Times New Roman" w:cs="Times New Roman"/>
          <w:bCs/>
          <w:sz w:val="24"/>
          <w:szCs w:val="24"/>
          <w:vertAlign w:val="superscript"/>
        </w:rPr>
        <w:t>2</w:t>
      </w:r>
      <w:r w:rsidRPr="005E0DEF">
        <w:rPr>
          <w:rFonts w:ascii="Times New Roman" w:hAnsi="Times New Roman" w:cs="Times New Roman"/>
          <w:bCs/>
          <w:sz w:val="24"/>
          <w:szCs w:val="24"/>
        </w:rPr>
        <w:t xml:space="preserve">= 0.8507 (P-value= 0.002077) </w:t>
      </w:r>
      <w:r w:rsidRPr="005E0DEF">
        <w:rPr>
          <w:rFonts w:ascii="Times New Roman" w:eastAsia="Calibri" w:hAnsi="Times New Roman" w:cs="Times New Roman"/>
          <w:bCs/>
          <w:sz w:val="24"/>
          <w:szCs w:val="24"/>
        </w:rPr>
        <w:t xml:space="preserve">qui explique la relation </w:t>
      </w:r>
      <w:r w:rsidR="005E0DEF" w:rsidRPr="005E0DEF">
        <w:rPr>
          <w:rFonts w:ascii="Times New Roman" w:eastAsia="Calibri" w:hAnsi="Times New Roman" w:cs="Times New Roman"/>
          <w:bCs/>
          <w:sz w:val="24"/>
          <w:szCs w:val="24"/>
        </w:rPr>
        <w:t>de</w:t>
      </w:r>
      <w:r w:rsidRPr="005E0DEF">
        <w:rPr>
          <w:rFonts w:ascii="Times New Roman" w:eastAsia="Calibri" w:hAnsi="Times New Roman" w:cs="Times New Roman"/>
          <w:bCs/>
          <w:sz w:val="24"/>
          <w:szCs w:val="24"/>
        </w:rPr>
        <w:t xml:space="preserve"> l’évolution d</w:t>
      </w:r>
      <w:r w:rsidR="0073311D" w:rsidRPr="005E0DEF">
        <w:rPr>
          <w:rFonts w:ascii="Times New Roman" w:eastAsia="Calibri" w:hAnsi="Times New Roman" w:cs="Times New Roman"/>
          <w:bCs/>
          <w:sz w:val="24"/>
          <w:szCs w:val="24"/>
        </w:rPr>
        <w:t>e l</w:t>
      </w:r>
      <w:r w:rsidRPr="005E0DEF">
        <w:rPr>
          <w:rFonts w:ascii="Times New Roman" w:eastAsia="Calibri" w:hAnsi="Times New Roman" w:cs="Times New Roman"/>
          <w:bCs/>
          <w:sz w:val="24"/>
          <w:szCs w:val="24"/>
        </w:rPr>
        <w:t>’</w:t>
      </w:r>
      <w:r w:rsidR="0073311D" w:rsidRPr="005E0DEF">
        <w:rPr>
          <w:rFonts w:ascii="Times New Roman" w:eastAsia="Calibri" w:hAnsi="Times New Roman" w:cs="Times New Roman"/>
          <w:bCs/>
          <w:sz w:val="24"/>
          <w:szCs w:val="24"/>
        </w:rPr>
        <w:t>IBGN</w:t>
      </w:r>
      <w:r w:rsidRPr="005E0DEF">
        <w:rPr>
          <w:rFonts w:ascii="Times New Roman" w:eastAsia="Calibri" w:hAnsi="Times New Roman" w:cs="Times New Roman"/>
          <w:bCs/>
          <w:sz w:val="24"/>
          <w:szCs w:val="24"/>
        </w:rPr>
        <w:t xml:space="preserve"> </w:t>
      </w:r>
      <w:r w:rsidR="0073311D" w:rsidRPr="005E0DEF">
        <w:rPr>
          <w:rFonts w:ascii="Times New Roman" w:eastAsia="Calibri" w:hAnsi="Times New Roman" w:cs="Times New Roman"/>
          <w:bCs/>
          <w:sz w:val="24"/>
          <w:szCs w:val="24"/>
        </w:rPr>
        <w:t xml:space="preserve">toujours </w:t>
      </w:r>
      <w:r w:rsidRPr="005E0DEF">
        <w:rPr>
          <w:rFonts w:ascii="Times New Roman" w:eastAsia="Calibri" w:hAnsi="Times New Roman" w:cs="Times New Roman"/>
          <w:bCs/>
          <w:sz w:val="24"/>
          <w:szCs w:val="24"/>
        </w:rPr>
        <w:t>par rapport à la richesse taxonomique totale, celle des EPT et l’abondance des Chironomidae.</w:t>
      </w:r>
    </w:p>
    <w:p w:rsidR="00716667" w:rsidRDefault="00716667" w:rsidP="00716667">
      <w:pPr>
        <w:spacing w:after="0"/>
        <w:jc w:val="both"/>
        <w:rPr>
          <w:rFonts w:ascii="Times New Roman" w:hAnsi="Times New Roman" w:cs="Times New Roman"/>
          <w:sz w:val="24"/>
          <w:szCs w:val="24"/>
        </w:rPr>
      </w:pPr>
    </w:p>
    <w:p w:rsidR="0073311D" w:rsidRDefault="00716667" w:rsidP="00CE685F">
      <w:pPr>
        <w:spacing w:after="0"/>
        <w:jc w:val="both"/>
        <w:rPr>
          <w:rFonts w:ascii="Times New Roman" w:hAnsi="Times New Roman" w:cs="Times New Roman"/>
          <w:sz w:val="24"/>
          <w:szCs w:val="24"/>
        </w:rPr>
      </w:pPr>
      <w:r>
        <w:rPr>
          <w:rFonts w:ascii="Times New Roman" w:hAnsi="Times New Roman" w:cs="Times New Roman"/>
          <w:sz w:val="24"/>
          <w:szCs w:val="24"/>
        </w:rPr>
        <w:t xml:space="preserve">Les </w:t>
      </w:r>
      <w:r w:rsidR="0073311D">
        <w:rPr>
          <w:rFonts w:ascii="Times New Roman" w:hAnsi="Times New Roman" w:cs="Times New Roman"/>
          <w:sz w:val="24"/>
          <w:szCs w:val="24"/>
        </w:rPr>
        <w:t xml:space="preserve">odonates ont été représentés par vingt deux espèces </w:t>
      </w:r>
      <w:r w:rsidR="00CE685F">
        <w:rPr>
          <w:rFonts w:ascii="Times New Roman" w:hAnsi="Times New Roman" w:cs="Times New Roman"/>
          <w:sz w:val="24"/>
          <w:szCs w:val="24"/>
        </w:rPr>
        <w:t xml:space="preserve">qui se </w:t>
      </w:r>
      <w:r w:rsidR="0073311D">
        <w:rPr>
          <w:rFonts w:ascii="Times New Roman" w:hAnsi="Times New Roman" w:cs="Times New Roman"/>
          <w:sz w:val="24"/>
          <w:szCs w:val="24"/>
        </w:rPr>
        <w:t xml:space="preserve">répartissent inégalement sur les trois oueds. Leur distribution est aussi bien expliquée par les caractéristiques de l’habitat. Nous avons bien mis en évidence les préférences des anisoptères aux habitats bien ensoleillés et pauvre en végétation riveraine, contrairement aux zygoptères qui préfèrent des habitats </w:t>
      </w:r>
      <w:r w:rsidR="00CE685F">
        <w:rPr>
          <w:rFonts w:ascii="Times New Roman" w:hAnsi="Times New Roman" w:cs="Times New Roman"/>
          <w:sz w:val="24"/>
          <w:szCs w:val="24"/>
        </w:rPr>
        <w:t>avec</w:t>
      </w:r>
      <w:r w:rsidR="0073311D">
        <w:rPr>
          <w:rFonts w:ascii="Times New Roman" w:hAnsi="Times New Roman" w:cs="Times New Roman"/>
          <w:sz w:val="24"/>
          <w:szCs w:val="24"/>
        </w:rPr>
        <w:t xml:space="preserve"> une végétation importante. Ces derniers sont considérés </w:t>
      </w:r>
      <w:r w:rsidR="00CE685F">
        <w:rPr>
          <w:rFonts w:ascii="Times New Roman" w:hAnsi="Times New Roman" w:cs="Times New Roman"/>
          <w:sz w:val="24"/>
          <w:szCs w:val="24"/>
        </w:rPr>
        <w:t xml:space="preserve">comme </w:t>
      </w:r>
      <w:r w:rsidR="0073311D">
        <w:rPr>
          <w:rFonts w:ascii="Times New Roman" w:hAnsi="Times New Roman" w:cs="Times New Roman"/>
          <w:sz w:val="24"/>
          <w:szCs w:val="24"/>
        </w:rPr>
        <w:t>fragiles aux perturbations des milieux.</w:t>
      </w:r>
    </w:p>
    <w:p w:rsidR="0073311D" w:rsidRDefault="0073311D" w:rsidP="0073311D">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rsidR="005B7666" w:rsidRDefault="0073311D" w:rsidP="00716667">
      <w:pPr>
        <w:spacing w:after="0"/>
        <w:jc w:val="both"/>
        <w:rPr>
          <w:rFonts w:ascii="Times New Roman" w:hAnsi="Times New Roman" w:cs="Times New Roman"/>
          <w:sz w:val="24"/>
          <w:szCs w:val="24"/>
        </w:rPr>
      </w:pPr>
      <w:r>
        <w:rPr>
          <w:rFonts w:ascii="Times New Roman" w:hAnsi="Times New Roman" w:cs="Times New Roman"/>
          <w:sz w:val="24"/>
          <w:szCs w:val="24"/>
        </w:rPr>
        <w:t xml:space="preserve">Ces </w:t>
      </w:r>
      <w:r w:rsidR="00716667">
        <w:rPr>
          <w:rFonts w:ascii="Times New Roman" w:hAnsi="Times New Roman" w:cs="Times New Roman"/>
          <w:sz w:val="24"/>
          <w:szCs w:val="24"/>
        </w:rPr>
        <w:t>résultats ont montré l’effet important des perturbations environnementales sur les répartitions des macroinvertébrés benthiques et des odonates adultes dans leurs milieux.</w:t>
      </w:r>
    </w:p>
    <w:p w:rsidR="00716667" w:rsidRDefault="00716667" w:rsidP="00716667">
      <w:pPr>
        <w:spacing w:after="0"/>
        <w:jc w:val="both"/>
        <w:rPr>
          <w:rFonts w:ascii="Times New Roman" w:hAnsi="Times New Roman" w:cs="Times New Roman"/>
          <w:bCs/>
          <w:sz w:val="24"/>
          <w:szCs w:val="24"/>
        </w:rPr>
      </w:pPr>
    </w:p>
    <w:sectPr w:rsidR="00716667" w:rsidSect="00244A2D">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146F" w:rsidRDefault="00A4146F" w:rsidP="009E69C7">
      <w:pPr>
        <w:spacing w:after="0" w:line="240" w:lineRule="auto"/>
      </w:pPr>
      <w:r>
        <w:separator/>
      </w:r>
    </w:p>
  </w:endnote>
  <w:endnote w:type="continuationSeparator" w:id="1">
    <w:p w:rsidR="00A4146F" w:rsidRDefault="00A4146F" w:rsidP="009E69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146F" w:rsidRDefault="00A4146F" w:rsidP="009E69C7">
      <w:pPr>
        <w:spacing w:after="0" w:line="240" w:lineRule="auto"/>
      </w:pPr>
      <w:r>
        <w:separator/>
      </w:r>
    </w:p>
  </w:footnote>
  <w:footnote w:type="continuationSeparator" w:id="1">
    <w:p w:rsidR="00A4146F" w:rsidRDefault="00A4146F" w:rsidP="009E69C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9C7" w:rsidRPr="009E69C7" w:rsidRDefault="009E69C7" w:rsidP="009E69C7">
    <w:pPr>
      <w:pStyle w:val="En-tte"/>
      <w:rPr>
        <w:u w:val="single"/>
      </w:rPr>
    </w:pPr>
    <w:r w:rsidRPr="009E69C7">
      <w:rPr>
        <w:highlight w:val="lightGray"/>
        <w:u w:val="single"/>
      </w:rPr>
      <w:t>.                                                                                                                                                                      Résumé</w:t>
    </w:r>
    <w:r w:rsidRPr="009E69C7">
      <w:rPr>
        <w:u w:val="single"/>
      </w:rPr>
      <w:t xml:space="preserve"> </w:t>
    </w:r>
  </w:p>
  <w:p w:rsidR="009E69C7" w:rsidRDefault="009E69C7">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661801"/>
    <w:rsid w:val="0000322D"/>
    <w:rsid w:val="000337F9"/>
    <w:rsid w:val="00044CD8"/>
    <w:rsid w:val="000C0D9C"/>
    <w:rsid w:val="00177BA6"/>
    <w:rsid w:val="001A3E58"/>
    <w:rsid w:val="00244A2D"/>
    <w:rsid w:val="00307CAC"/>
    <w:rsid w:val="003441E1"/>
    <w:rsid w:val="00354251"/>
    <w:rsid w:val="003F1159"/>
    <w:rsid w:val="00537DB7"/>
    <w:rsid w:val="005609ED"/>
    <w:rsid w:val="005719B7"/>
    <w:rsid w:val="005B7666"/>
    <w:rsid w:val="005E0DEF"/>
    <w:rsid w:val="00661801"/>
    <w:rsid w:val="00662D01"/>
    <w:rsid w:val="006944B3"/>
    <w:rsid w:val="00716667"/>
    <w:rsid w:val="0073311D"/>
    <w:rsid w:val="007363F3"/>
    <w:rsid w:val="0074666F"/>
    <w:rsid w:val="007B3CD8"/>
    <w:rsid w:val="00922E66"/>
    <w:rsid w:val="009862F6"/>
    <w:rsid w:val="009B2E44"/>
    <w:rsid w:val="009E69C7"/>
    <w:rsid w:val="00A31AF8"/>
    <w:rsid w:val="00A4146F"/>
    <w:rsid w:val="00A80EAB"/>
    <w:rsid w:val="00B067D4"/>
    <w:rsid w:val="00B2390A"/>
    <w:rsid w:val="00BD19A0"/>
    <w:rsid w:val="00CE685F"/>
    <w:rsid w:val="00E12E8A"/>
    <w:rsid w:val="00E23DF5"/>
    <w:rsid w:val="00F50AA9"/>
    <w:rsid w:val="00F5709F"/>
    <w:rsid w:val="00FB477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4A2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E69C7"/>
    <w:pPr>
      <w:tabs>
        <w:tab w:val="center" w:pos="4536"/>
        <w:tab w:val="right" w:pos="9072"/>
      </w:tabs>
      <w:spacing w:after="0" w:line="240" w:lineRule="auto"/>
    </w:pPr>
  </w:style>
  <w:style w:type="character" w:customStyle="1" w:styleId="En-tteCar">
    <w:name w:val="En-tête Car"/>
    <w:basedOn w:val="Policepardfaut"/>
    <w:link w:val="En-tte"/>
    <w:uiPriority w:val="99"/>
    <w:rsid w:val="009E69C7"/>
  </w:style>
  <w:style w:type="paragraph" w:styleId="Pieddepage">
    <w:name w:val="footer"/>
    <w:basedOn w:val="Normal"/>
    <w:link w:val="PieddepageCar"/>
    <w:uiPriority w:val="99"/>
    <w:semiHidden/>
    <w:unhideWhenUsed/>
    <w:rsid w:val="009E69C7"/>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9E69C7"/>
  </w:style>
  <w:style w:type="paragraph" w:styleId="Textedebulles">
    <w:name w:val="Balloon Text"/>
    <w:basedOn w:val="Normal"/>
    <w:link w:val="TextedebullesCar"/>
    <w:uiPriority w:val="99"/>
    <w:semiHidden/>
    <w:unhideWhenUsed/>
    <w:rsid w:val="009E69C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E69C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429</Words>
  <Characters>2448</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traitement</cp:lastModifiedBy>
  <cp:revision>3</cp:revision>
  <dcterms:created xsi:type="dcterms:W3CDTF">2016-11-21T10:22:00Z</dcterms:created>
  <dcterms:modified xsi:type="dcterms:W3CDTF">2016-11-21T10:22:00Z</dcterms:modified>
</cp:coreProperties>
</file>