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4362" w:rsidRDefault="00CD4362" w:rsidP="00CD4362">
      <w:r>
        <w:t>L'image est un support très riche en informations, qui a fortement contribuée au progrès de l'Homme. Pour qu'elle soit  exploitable et en tirer ses caractéristiques pertinentes, un traitement est généralement indispensable.  L'objectif des  travaux de cette thèse est la recherche d'algorithmes efficaces permettant de prendre en charge quelques un de ces</w:t>
      </w:r>
    </w:p>
    <w:p w:rsidR="00CD4362" w:rsidRDefault="00CD4362" w:rsidP="00CD4362">
      <w:r>
        <w:t xml:space="preserve"> traitements qui sont : la classification et la modélisation. Le domaine d'exploration est les réseaux de neurones avec  toutes leurs variantes : bouclés ou non bouclés, à architecture figée ou évolutive, réels, binaires ou flous, et à plusieurs  modes d'apprentissage : supervisés ou non supervisés, compétitifs ou non. Des améliorations de ces réseaux neuronaux</w:t>
      </w:r>
    </w:p>
    <w:p w:rsidR="00CD4362" w:rsidRDefault="00CD4362" w:rsidP="00CD4362">
      <w:r>
        <w:t xml:space="preserve"> dans leurs méthodes d'apprentissage et leurs constructions architecturales sont proposées. Les domaines d'applications  sont la classification supervisée, la modélisation et la cartographie des constituants marins. Les images utilisées sont des  images satellitaires multi spectrales de télédétection de différents capteurs : HRV de SPOT, ALSAT-1 et MODIS-Aqua, les  régions d'étude sont la méditerrané de l'ouest et la baie d'Alger. Le but visé étant de contribuer à une bonne gestion des  zones côtières et à un suivi des espaces marins. Ces espaces ont un intérêt écologique (localement) et environnemental  (globalement) capital et une importance économique sans cesse croissante, d'où l'intérêt d'une estimation de leurs </w:t>
      </w:r>
    </w:p>
    <w:p w:rsidR="00CD4362" w:rsidRDefault="00CD4362" w:rsidP="00CD4362">
      <w:r>
        <w:t>richesses et d'une évaluation de l'impact des modifications globales et (ou) locales sur leur santé. De plus, les régions  nord du pays (surtout celles longeant la côte), malgré leur étroitesses, sont les plus riches (en termes de production  animale et végétale) et les plus peuplées, la densité industrielle et en habitations de ces zones ayant forcement un impact</w:t>
      </w:r>
    </w:p>
    <w:p w:rsidR="00CD4362" w:rsidRDefault="00CD4362" w:rsidP="00CD4362">
      <w:r>
        <w:t xml:space="preserve"> négatif sur l'écosystème marin et littoral. Mettre entre les mains des techniciens et des décideurs des outils permettant une  bonne gestion et un suivi correct des occupations de ces sols ne peut être que bénéfique.</w:t>
      </w:r>
    </w:p>
    <w:p w:rsidR="00CD4362" w:rsidRDefault="00CD4362" w:rsidP="00CD4362">
      <w:r>
        <w:t xml:space="preserve">   Le document de thèse est une synthèse de travaux sur les réseaux de neurones en général, et en particulier sur : </w:t>
      </w:r>
    </w:p>
    <w:p w:rsidR="00CD4362" w:rsidRDefault="00CD4362" w:rsidP="00CD4362">
      <w:r>
        <w:t xml:space="preserve">   Le réseau Perceptron Multi Couches de la famille des réseaux à propagation avant (feedforward), à architecture figée, à  apprentissage supervisée par rétro propagation du gradient. Différentes méthodes d'optimisations en était essayées, la  meilleure étant l'algorithme de  Levenberg-Marquardt (LM). </w:t>
      </w:r>
    </w:p>
    <w:p w:rsidR="00CD4362" w:rsidRDefault="00CD4362" w:rsidP="00CD4362">
      <w:r>
        <w:t xml:space="preserve">   Le réseau à fonctions de base radiale (Radial Basis Fonction RBF) à une seule couche cachée, à propagation avan (feedforward) à architecture figée, et à apprentissage supervisée. </w:t>
      </w:r>
    </w:p>
    <w:p w:rsidR="0027255D" w:rsidRDefault="00CD4362" w:rsidP="00CD4362">
      <w:r>
        <w:t xml:space="preserve">   Les réseaux de la famille des cartes auto organisatrices (Self organization Map SOM) à apprentissage non supervisé  compétitif et à structure figée (le réseau de Kohonen), et à architecture évolutive de la famille des GNG (Growing Neural  Gas) (les réseaux GNG et IGNG) à apprentissage non supervisé Hebbien Compétitif.</w:t>
      </w:r>
    </w:p>
    <w:sectPr w:rsidR="0027255D" w:rsidSect="0027255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D4362"/>
    <w:rsid w:val="0027255D"/>
    <w:rsid w:val="00CD436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255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455</Words>
  <Characters>2505</Characters>
  <Application>Microsoft Office Word</Application>
  <DocSecurity>0</DocSecurity>
  <Lines>20</Lines>
  <Paragraphs>5</Paragraphs>
  <ScaleCrop>false</ScaleCrop>
  <Company/>
  <LinksUpToDate>false</LinksUpToDate>
  <CharactersWithSpaces>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2014-11-25T12:36:00Z</dcterms:created>
  <dcterms:modified xsi:type="dcterms:W3CDTF">2014-11-25T12:37:00Z</dcterms:modified>
</cp:coreProperties>
</file>