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1F5B" w:rsidRDefault="00381F5B" w:rsidP="0089529F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</w:p>
    <w:p w:rsidR="00381F5B" w:rsidRDefault="00381F5B" w:rsidP="0089529F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</w:p>
    <w:p w:rsidR="00381F5B" w:rsidRDefault="00381F5B" w:rsidP="0089529F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</w:p>
    <w:p w:rsidR="0089529F" w:rsidRPr="007D2D66" w:rsidRDefault="0089529F" w:rsidP="0089529F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  <w:r w:rsidRPr="007D2D66">
        <w:rPr>
          <w:rFonts w:ascii="Times New Roman" w:hAnsi="Times New Roman" w:cs="Times New Roman"/>
          <w:b/>
          <w:bCs/>
          <w:sz w:val="28"/>
          <w:szCs w:val="28"/>
          <w:lang w:val="fr-FR"/>
        </w:rPr>
        <w:t>Résumé</w:t>
      </w:r>
    </w:p>
    <w:p w:rsidR="0089529F" w:rsidRPr="00963A3F" w:rsidRDefault="0089529F" w:rsidP="00381F5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7D2D66">
        <w:rPr>
          <w:rFonts w:ascii="Times New Roman" w:hAnsi="Times New Roman" w:cs="Times New Roman"/>
          <w:sz w:val="24"/>
          <w:szCs w:val="24"/>
          <w:lang w:val="fr-FR"/>
        </w:rPr>
        <w:t>La présente étude</w:t>
      </w:r>
      <w:r w:rsidRPr="007D2D66">
        <w:rPr>
          <w:rFonts w:ascii="Times New Roman" w:hAnsi="Times New Roman" w:cs="Times New Roman"/>
          <w:color w:val="000000"/>
          <w:sz w:val="24"/>
          <w:szCs w:val="24"/>
          <w:lang w:val="fr-FR"/>
        </w:rPr>
        <w:t xml:space="preserve"> met en évidence l’effet antagoniste (</w:t>
      </w:r>
      <w:r w:rsidRPr="007D2D66">
        <w:rPr>
          <w:rFonts w:ascii="Times New Roman" w:hAnsi="Times New Roman" w:cs="Times New Roman"/>
          <w:i/>
          <w:iCs/>
          <w:color w:val="000000"/>
          <w:sz w:val="24"/>
          <w:szCs w:val="24"/>
          <w:lang w:val="fr-FR"/>
        </w:rPr>
        <w:t>in vitro</w:t>
      </w:r>
      <w:r w:rsidR="00963A3F">
        <w:rPr>
          <w:rFonts w:ascii="Times New Roman" w:hAnsi="Times New Roman" w:cs="Times New Roman"/>
          <w:i/>
          <w:iCs/>
          <w:color w:val="000000"/>
          <w:sz w:val="24"/>
          <w:szCs w:val="24"/>
          <w:lang w:val="fr-FR"/>
        </w:rPr>
        <w:t xml:space="preserve"> </w:t>
      </w:r>
      <w:r w:rsidR="00963A3F" w:rsidRPr="00963A3F">
        <w:rPr>
          <w:rFonts w:ascii="Times New Roman" w:hAnsi="Times New Roman" w:cs="Times New Roman"/>
          <w:color w:val="000000"/>
          <w:sz w:val="24"/>
          <w:szCs w:val="24"/>
          <w:lang w:val="fr-FR"/>
        </w:rPr>
        <w:t>et</w:t>
      </w:r>
      <w:r w:rsidR="00963A3F">
        <w:rPr>
          <w:rFonts w:ascii="Times New Roman" w:hAnsi="Times New Roman" w:cs="Times New Roman"/>
          <w:i/>
          <w:iCs/>
          <w:color w:val="000000"/>
          <w:sz w:val="24"/>
          <w:szCs w:val="24"/>
          <w:lang w:val="fr-FR"/>
        </w:rPr>
        <w:t xml:space="preserve"> in vivo</w:t>
      </w:r>
      <w:r w:rsidRPr="007D2D66">
        <w:rPr>
          <w:rFonts w:ascii="Times New Roman" w:hAnsi="Times New Roman" w:cs="Times New Roman"/>
          <w:color w:val="000000"/>
          <w:sz w:val="24"/>
          <w:szCs w:val="24"/>
          <w:lang w:val="fr-FR"/>
        </w:rPr>
        <w:t xml:space="preserve">) des </w:t>
      </w:r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souches de </w:t>
      </w:r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P. </w:t>
      </w:r>
      <w:proofErr w:type="spellStart"/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>polymyxa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à l’égard de </w:t>
      </w:r>
      <w:proofErr w:type="spellStart"/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>Fusariumgraminearum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F. </w:t>
      </w:r>
      <w:proofErr w:type="spellStart"/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>culmorum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F. </w:t>
      </w:r>
      <w:proofErr w:type="spellStart"/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>verticillioides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et </w:t>
      </w:r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>M. nivale</w:t>
      </w:r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agents pathogènes du blé dur</w:t>
      </w:r>
      <w:r w:rsidR="00963A3F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r w:rsidR="00963A3F" w:rsidRPr="007D2D66">
        <w:rPr>
          <w:rFonts w:ascii="Times New Roman" w:hAnsi="Times New Roman" w:cs="Times New Roman"/>
          <w:sz w:val="24"/>
          <w:szCs w:val="24"/>
          <w:lang w:val="fr-FR"/>
        </w:rPr>
        <w:t>L</w:t>
      </w:r>
      <w:r w:rsidRPr="007D2D66">
        <w:rPr>
          <w:rFonts w:ascii="Times New Roman" w:hAnsi="Times New Roman" w:cs="Times New Roman"/>
          <w:sz w:val="24"/>
          <w:szCs w:val="24"/>
          <w:lang w:val="fr-FR"/>
        </w:rPr>
        <w:t>a</w:t>
      </w:r>
      <w:r w:rsidR="00963A3F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souche SGK2 sélectionnée a la capacité de produire des enzymes dégradant les parois cellulaires fongiques (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chitinase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>) et végétales (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pectinase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>,</w:t>
      </w:r>
      <w:bookmarkStart w:id="0" w:name="_GoBack"/>
      <w:bookmarkEnd w:id="0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cellulase) et elle est également apte à produire des 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sidérophores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.  L’amplification par PCR et l’analyse par électrophorèse montrent que la souche </w:t>
      </w:r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P. </w:t>
      </w:r>
      <w:proofErr w:type="spellStart"/>
      <w:r w:rsidRPr="007D2D66">
        <w:rPr>
          <w:rFonts w:ascii="Times New Roman" w:hAnsi="Times New Roman" w:cs="Times New Roman"/>
          <w:i/>
          <w:iCs/>
          <w:sz w:val="24"/>
          <w:szCs w:val="24"/>
          <w:lang w:val="fr-FR"/>
        </w:rPr>
        <w:t>polymyxa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SGK2 possède des gènes codant pour les synthétases des lipopeptides non ribosomiaux suivants : la 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surfactine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, la 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fengycine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, la 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bacillomycine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 xml:space="preserve"> et la </w:t>
      </w:r>
      <w:proofErr w:type="spellStart"/>
      <w:r w:rsidRPr="007D2D66">
        <w:rPr>
          <w:rFonts w:ascii="Times New Roman" w:hAnsi="Times New Roman" w:cs="Times New Roman"/>
          <w:sz w:val="24"/>
          <w:szCs w:val="24"/>
          <w:lang w:val="fr-FR"/>
        </w:rPr>
        <w:t>kurstakine</w:t>
      </w:r>
      <w:proofErr w:type="spellEnd"/>
      <w:r w:rsidRPr="007D2D66">
        <w:rPr>
          <w:rFonts w:ascii="Times New Roman" w:hAnsi="Times New Roman" w:cs="Times New Roman"/>
          <w:sz w:val="24"/>
          <w:szCs w:val="24"/>
          <w:lang w:val="fr-FR"/>
        </w:rPr>
        <w:t>.</w:t>
      </w:r>
      <w:r w:rsidRPr="007D2D66">
        <w:rPr>
          <w:rFonts w:ascii="Times New Roman" w:hAnsi="Times New Roman" w:cs="Times New Roman"/>
          <w:sz w:val="24"/>
          <w:szCs w:val="24"/>
          <w:lang w:val="fr-FR"/>
        </w:rPr>
        <w:tab/>
      </w:r>
    </w:p>
    <w:p w:rsidR="00FB6F71" w:rsidRPr="00381F5B" w:rsidRDefault="00FB6F71">
      <w:pPr>
        <w:rPr>
          <w:lang w:val="fr-FR"/>
        </w:rPr>
      </w:pPr>
    </w:p>
    <w:sectPr w:rsidR="00FB6F71" w:rsidRPr="00381F5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00A"/>
    <w:rsid w:val="00381F5B"/>
    <w:rsid w:val="0089529F"/>
    <w:rsid w:val="00963A3F"/>
    <w:rsid w:val="00F9400A"/>
    <w:rsid w:val="00FB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0E1228-B220-4591-907C-B0B88B444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529F"/>
    <w:rPr>
      <w:lang w:val="en-GB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</Words>
  <Characters>583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 Store</dc:creator>
  <cp:keywords/>
  <dc:description/>
  <cp:lastModifiedBy>naima</cp:lastModifiedBy>
  <cp:revision>4</cp:revision>
  <dcterms:created xsi:type="dcterms:W3CDTF">2018-01-07T19:19:00Z</dcterms:created>
  <dcterms:modified xsi:type="dcterms:W3CDTF">2018-05-09T09:43:00Z</dcterms:modified>
</cp:coreProperties>
</file>