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C0D" w:rsidRDefault="00733C0D" w:rsidP="0063329A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536350" w:rsidRPr="00536350" w:rsidRDefault="00536350" w:rsidP="00536350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La caractérisation par la spectrométrie IR, RMN- 1H et UV-Visible d'un ligand </w:t>
      </w:r>
      <w:proofErr w:type="spellStart"/>
      <w:r w:rsidRPr="00536350">
        <w:rPr>
          <w:rFonts w:ascii="Times New Roman" w:hAnsi="Times New Roman" w:cs="Times New Roman"/>
          <w:sz w:val="24"/>
          <w:szCs w:val="24"/>
          <w:lang w:val="fr-FR"/>
        </w:rPr>
        <w:t>pentadentate</w:t>
      </w:r>
      <w:proofErr w:type="spellEnd"/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 (H3L) a été réalisée.</w:t>
      </w:r>
    </w:p>
    <w:p w:rsidR="00536350" w:rsidRPr="00536350" w:rsidRDefault="00536350" w:rsidP="00536350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Pour étudier l'effet électronique et stérique sur la stabilité des complexes du nickel (II), la base de </w:t>
      </w:r>
      <w:proofErr w:type="spellStart"/>
      <w:r w:rsidRPr="00536350">
        <w:rPr>
          <w:rFonts w:ascii="Times New Roman" w:hAnsi="Times New Roman" w:cs="Times New Roman"/>
          <w:sz w:val="24"/>
          <w:szCs w:val="24"/>
          <w:lang w:val="fr-FR"/>
        </w:rPr>
        <w:t>Schiff</w:t>
      </w:r>
      <w:proofErr w:type="spellEnd"/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 (H3L) a été prise comme ligand primaire et trois acides aminés (AA): cystéine (</w:t>
      </w:r>
      <w:proofErr w:type="spellStart"/>
      <w:r w:rsidRPr="00536350">
        <w:rPr>
          <w:rFonts w:ascii="Times New Roman" w:hAnsi="Times New Roman" w:cs="Times New Roman"/>
          <w:sz w:val="24"/>
          <w:szCs w:val="24"/>
          <w:lang w:val="fr-FR"/>
        </w:rPr>
        <w:t>Cys</w:t>
      </w:r>
      <w:proofErr w:type="spellEnd"/>
      <w:r w:rsidRPr="00536350">
        <w:rPr>
          <w:rFonts w:ascii="Times New Roman" w:hAnsi="Times New Roman" w:cs="Times New Roman"/>
          <w:sz w:val="24"/>
          <w:szCs w:val="24"/>
          <w:lang w:val="fr-FR"/>
        </w:rPr>
        <w:t>), proline (Pro) et sérine (</w:t>
      </w:r>
      <w:proofErr w:type="spellStart"/>
      <w:r w:rsidRPr="00536350">
        <w:rPr>
          <w:rFonts w:ascii="Times New Roman" w:hAnsi="Times New Roman" w:cs="Times New Roman"/>
          <w:sz w:val="24"/>
          <w:szCs w:val="24"/>
          <w:lang w:val="fr-FR"/>
        </w:rPr>
        <w:t>Ser</w:t>
      </w:r>
      <w:proofErr w:type="spellEnd"/>
      <w:r w:rsidRPr="00536350">
        <w:rPr>
          <w:rFonts w:ascii="Times New Roman" w:hAnsi="Times New Roman" w:cs="Times New Roman"/>
          <w:sz w:val="24"/>
          <w:szCs w:val="24"/>
          <w:lang w:val="fr-FR"/>
        </w:rPr>
        <w:t>) ont été choisis comme ligands secondaires.</w:t>
      </w:r>
    </w:p>
    <w:p w:rsidR="00536350" w:rsidRPr="00536350" w:rsidRDefault="00536350" w:rsidP="00536350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L'étude de la formation et de la stabilité en solution de nouveaux complexes de nickel (II) avec ces ligands a été effectuée par </w:t>
      </w:r>
      <w:proofErr w:type="spellStart"/>
      <w:r w:rsidRPr="00536350">
        <w:rPr>
          <w:rFonts w:ascii="Times New Roman" w:hAnsi="Times New Roman" w:cs="Times New Roman"/>
          <w:sz w:val="24"/>
          <w:szCs w:val="24"/>
          <w:lang w:val="fr-FR"/>
        </w:rPr>
        <w:t>potentiométrie</w:t>
      </w:r>
      <w:proofErr w:type="spellEnd"/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 dans un milieu eau-éthanol (90 % / 10 % vol. / </w:t>
      </w:r>
      <w:proofErr w:type="gramStart"/>
      <w:r w:rsidRPr="00536350">
        <w:rPr>
          <w:rFonts w:ascii="Times New Roman" w:hAnsi="Times New Roman" w:cs="Times New Roman"/>
          <w:sz w:val="24"/>
          <w:szCs w:val="24"/>
          <w:lang w:val="fr-FR"/>
        </w:rPr>
        <w:t>vol</w:t>
      </w:r>
      <w:proofErr w:type="gramEnd"/>
      <w:r w:rsidRPr="00536350">
        <w:rPr>
          <w:rFonts w:ascii="Times New Roman" w:hAnsi="Times New Roman" w:cs="Times New Roman"/>
          <w:sz w:val="24"/>
          <w:szCs w:val="24"/>
          <w:lang w:val="fr-FR"/>
        </w:rPr>
        <w:t>.), à température et à force ionique constantes.</w:t>
      </w:r>
    </w:p>
    <w:p w:rsidR="00536350" w:rsidRPr="00536350" w:rsidRDefault="00536350" w:rsidP="00536350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Une étude préalable des ligands seuls et leurs complexes binaires dans les mêmes conditions s'est avérée nécessaire, et ce dans le but de déterminer les constantes de </w:t>
      </w:r>
      <w:proofErr w:type="spellStart"/>
      <w:r w:rsidRPr="00536350">
        <w:rPr>
          <w:rFonts w:ascii="Times New Roman" w:hAnsi="Times New Roman" w:cs="Times New Roman"/>
          <w:sz w:val="24"/>
          <w:szCs w:val="24"/>
          <w:lang w:val="fr-FR"/>
        </w:rPr>
        <w:t>protonation</w:t>
      </w:r>
      <w:proofErr w:type="spellEnd"/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 des ligands ainsi que les constantes de stabilité des complexes binaires qui sont indispensables pour le calcul  des constantes de stabilité des complexes ternaires en solution.</w:t>
      </w:r>
    </w:p>
    <w:p w:rsidR="00536350" w:rsidRPr="00536350" w:rsidRDefault="00536350" w:rsidP="00536350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L'étude des complexes des systèmes Ni2+-H3L, Ni2+-AA et Ni2+-H3L-AA a été effectuée pour un rapport molaire 1/1, 1/2 et 1/1/1 respectivement. Les constantes de stabilité des différentes espèces ont été déterminées au moyen du programme de calcul </w:t>
      </w:r>
      <w:proofErr w:type="spellStart"/>
      <w:r w:rsidRPr="00536350">
        <w:rPr>
          <w:rFonts w:ascii="Times New Roman" w:hAnsi="Times New Roman" w:cs="Times New Roman"/>
          <w:sz w:val="24"/>
          <w:szCs w:val="24"/>
          <w:lang w:val="fr-FR"/>
        </w:rPr>
        <w:t>Sirko</w:t>
      </w:r>
      <w:proofErr w:type="spellEnd"/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 qui nous a permis de mettre en évidence la formation de quatre espèces pour le système Ni2+-H3L ([Ni(H3L)]2+, [Ni(H2L)]+, [Ni(HL)], [Ni(L)]-) et de deux espèces pour les systèmes Ni2+-H3L-AA ([Ni(HL)(AA)]- et [Ni(L)(AA)]2-). Les complexes formés avec la cystéine sont plus stables que ceux formés avec la proline et la sérine.</w:t>
      </w:r>
    </w:p>
    <w:p w:rsidR="00536350" w:rsidRPr="00536350" w:rsidRDefault="00536350" w:rsidP="00536350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Une étude à l'état solide a été réalisée et les complexes synthétisés ont été caractérisés par analyse élémentaire, </w:t>
      </w:r>
      <w:proofErr w:type="spellStart"/>
      <w:r w:rsidRPr="00536350">
        <w:rPr>
          <w:rFonts w:ascii="Times New Roman" w:hAnsi="Times New Roman" w:cs="Times New Roman"/>
          <w:sz w:val="24"/>
          <w:szCs w:val="24"/>
          <w:lang w:val="fr-FR"/>
        </w:rPr>
        <w:t>conductemétie</w:t>
      </w:r>
      <w:proofErr w:type="spellEnd"/>
      <w:r w:rsidRPr="00536350">
        <w:rPr>
          <w:rFonts w:ascii="Times New Roman" w:hAnsi="Times New Roman" w:cs="Times New Roman"/>
          <w:sz w:val="24"/>
          <w:szCs w:val="24"/>
          <w:lang w:val="fr-FR"/>
        </w:rPr>
        <w:t>, spectrométrie IR, RMN- 1H et UV-Visible. Les complexes isolés  à l'état solide sont de nature monomérique.</w:t>
      </w:r>
    </w:p>
    <w:p w:rsidR="00536350" w:rsidRPr="00536350" w:rsidRDefault="00536350" w:rsidP="00536350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La spectrométrie IR a permis de déduire le mode de coordination des ligands qui est de type N2O3 pour la base de </w:t>
      </w:r>
      <w:proofErr w:type="spellStart"/>
      <w:r w:rsidRPr="00536350">
        <w:rPr>
          <w:rFonts w:ascii="Times New Roman" w:hAnsi="Times New Roman" w:cs="Times New Roman"/>
          <w:sz w:val="24"/>
          <w:szCs w:val="24"/>
          <w:lang w:val="fr-FR"/>
        </w:rPr>
        <w:t>Schiff</w:t>
      </w:r>
      <w:proofErr w:type="spellEnd"/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 et de type O pour les acides aminés ce qui est confirmé par la spectrométrie RMN- 1H. La spectrophotométrie UV-Visible a montré que l'ion central Ni (II) adopte une géométrie octaédrique.</w:t>
      </w:r>
    </w:p>
    <w:p w:rsidR="00E17851" w:rsidRDefault="00536350" w:rsidP="00536350">
      <w:pPr>
        <w:kinsoku w:val="0"/>
        <w:overflowPunct w:val="0"/>
        <w:autoSpaceDE w:val="0"/>
        <w:autoSpaceDN w:val="0"/>
        <w:bidi w:val="0"/>
        <w:adjustRightInd w:val="0"/>
        <w:spacing w:before="92" w:after="0" w:line="360" w:lineRule="auto"/>
        <w:ind w:left="118" w:right="107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L'étude du comportement électrochimique des complexes de nickel (II) a été effectuée par </w:t>
      </w:r>
      <w:proofErr w:type="spellStart"/>
      <w:r w:rsidRPr="00536350">
        <w:rPr>
          <w:rFonts w:ascii="Times New Roman" w:hAnsi="Times New Roman" w:cs="Times New Roman"/>
          <w:sz w:val="24"/>
          <w:szCs w:val="24"/>
          <w:lang w:val="fr-FR"/>
        </w:rPr>
        <w:t>voltamétrie</w:t>
      </w:r>
      <w:proofErr w:type="spellEnd"/>
      <w:r w:rsidRPr="00536350">
        <w:rPr>
          <w:rFonts w:ascii="Times New Roman" w:hAnsi="Times New Roman" w:cs="Times New Roman"/>
          <w:sz w:val="24"/>
          <w:szCs w:val="24"/>
          <w:lang w:val="fr-FR"/>
        </w:rPr>
        <w:t xml:space="preserve"> cyclique. Elle a montré que la réduction du l'ion central se déplace vers les potentiels négatifs lorsqu'on ajoute le ligand secondaire ce qui a été expliqué par l'augmentation de la densité électronique autour du l'ion central.</w:t>
      </w:r>
    </w:p>
    <w:sectPr w:rsidR="00E17851" w:rsidSect="00733C0D">
      <w:pgSz w:w="11900" w:h="16840"/>
      <w:pgMar w:top="1440" w:right="1080" w:bottom="1440" w:left="1080" w:header="720" w:footer="720" w:gutter="0"/>
      <w:cols w:space="720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34DDF"/>
    <w:rsid w:val="00064A3C"/>
    <w:rsid w:val="000F4612"/>
    <w:rsid w:val="00253A5D"/>
    <w:rsid w:val="00347D73"/>
    <w:rsid w:val="00470B68"/>
    <w:rsid w:val="004B174E"/>
    <w:rsid w:val="00536350"/>
    <w:rsid w:val="005C749A"/>
    <w:rsid w:val="005F47AF"/>
    <w:rsid w:val="0063329A"/>
    <w:rsid w:val="006B32D2"/>
    <w:rsid w:val="00733C0D"/>
    <w:rsid w:val="00877751"/>
    <w:rsid w:val="00A41E59"/>
    <w:rsid w:val="00B11804"/>
    <w:rsid w:val="00B23E88"/>
    <w:rsid w:val="00B41B66"/>
    <w:rsid w:val="00B567F9"/>
    <w:rsid w:val="00D34DDF"/>
    <w:rsid w:val="00E17851"/>
    <w:rsid w:val="00FC67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E8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733C0D"/>
    <w:pPr>
      <w:autoSpaceDE w:val="0"/>
      <w:autoSpaceDN w:val="0"/>
      <w:bidi w:val="0"/>
      <w:adjustRightInd w:val="0"/>
      <w:spacing w:before="5" w:after="0" w:line="240" w:lineRule="auto"/>
      <w:ind w:left="118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33C0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C7A548-3F63-4168-BCE0-E6F67D9A1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363</Words>
  <Characters>2075</Characters>
  <Application>Microsoft Office Word</Application>
  <DocSecurity>0</DocSecurity>
  <Lines>17</Lines>
  <Paragraphs>4</Paragraphs>
  <ScaleCrop>false</ScaleCrop>
  <Company/>
  <LinksUpToDate>false</LinksUpToDate>
  <CharactersWithSpaces>2434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11</cp:revision>
  <dcterms:created xsi:type="dcterms:W3CDTF">2015-10-07T10:14:00Z</dcterms:created>
  <dcterms:modified xsi:type="dcterms:W3CDTF">2015-10-08T13:54:00Z</dcterms:modified>
</cp:coreProperties>
</file>