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55142" w:rsidRDefault="00E55142" w:rsidP="00E55142">
      <w:r>
        <w:t xml:space="preserve">Ce travail  est relatif à la synthèse et la caractérisation d'un semi-conducteur (CuAl2O4) ainsi que son application dans la </w:t>
      </w:r>
      <w:proofErr w:type="spellStart"/>
      <w:r>
        <w:t>photoréduction</w:t>
      </w:r>
      <w:proofErr w:type="spellEnd"/>
      <w:r>
        <w:t xml:space="preserve"> du Cr(VI) en solution aqueuse.</w:t>
      </w:r>
    </w:p>
    <w:p w:rsidR="00E55142" w:rsidRDefault="00E55142" w:rsidP="00E55142">
      <w:r>
        <w:t>Dans une première étape, nous avons présenté une modélisation des Résultats de la DTS dans un réacteur agité ;</w:t>
      </w:r>
    </w:p>
    <w:p w:rsidR="00E55142" w:rsidRDefault="00E55142" w:rsidP="00E55142">
      <w:r>
        <w:t xml:space="preserve">Dans une deuxième étape nous avons procédé à la préparation du photo-catalyseur de type spinale (CuAl2O4) synthétisé par réaction chimique en solution. Ensuite, nous avons caractérisé ce matériau par différentes techniques : DRX, Courbes Intensité-Potentiel (I-V), </w:t>
      </w:r>
      <w:proofErr w:type="spellStart"/>
      <w:r>
        <w:t>Mott</w:t>
      </w:r>
      <w:proofErr w:type="spellEnd"/>
      <w:r>
        <w:t xml:space="preserve">-Schottky. </w:t>
      </w:r>
    </w:p>
    <w:p w:rsidR="00E55142" w:rsidRDefault="00E55142" w:rsidP="00E55142">
      <w:r>
        <w:t>Les différents paramètres ont permis de tracer le diagramme énergétique de (CuAl2O4) au contact d'un électrolyte (</w:t>
      </w:r>
      <w:proofErr w:type="spellStart"/>
      <w:r>
        <w:t>NaOH</w:t>
      </w:r>
      <w:proofErr w:type="spellEnd"/>
      <w:r>
        <w:t xml:space="preserve"> 0,5 M) ce qui permet de prédire les réactions susceptibles de se produire.</w:t>
      </w:r>
    </w:p>
    <w:p w:rsidR="00E55142" w:rsidRDefault="00E55142" w:rsidP="00E55142">
      <w:r>
        <w:t xml:space="preserve">La troisième étape porte sur  l'étude de la photo réduction du Cr(VI) effectuée dans le réacteur par illumination de 100 mg du catalyseur (CuCrO2) en suspension dans 100 ml d'une solution contenant 30 mg L-1 de K2Cr2O7. Le dosage du Cr(VI) par Spectrophotométrie </w:t>
      </w:r>
      <w:proofErr w:type="spellStart"/>
      <w:r>
        <w:t>Uv</w:t>
      </w:r>
      <w:proofErr w:type="spellEnd"/>
      <w:r>
        <w:t xml:space="preserve">-visible à 348 nm, avec une vérification par le dosage </w:t>
      </w:r>
      <w:proofErr w:type="spellStart"/>
      <w:r>
        <w:t>potentiométrique</w:t>
      </w:r>
      <w:proofErr w:type="spellEnd"/>
      <w:r>
        <w:t xml:space="preserve"> avec du sel de </w:t>
      </w:r>
      <w:proofErr w:type="spellStart"/>
      <w:r>
        <w:t>Mohr</w:t>
      </w:r>
      <w:proofErr w:type="spellEnd"/>
      <w:r>
        <w:t xml:space="preserve">, a montré que la réduction quasi complète des nitrates est </w:t>
      </w:r>
      <w:proofErr w:type="gramStart"/>
      <w:r>
        <w:t>atteint</w:t>
      </w:r>
      <w:proofErr w:type="gramEnd"/>
      <w:r>
        <w:t xml:space="preserve"> au bout de 3h.</w:t>
      </w:r>
    </w:p>
    <w:p w:rsidR="00AB423E" w:rsidRDefault="00E55142" w:rsidP="00E55142">
      <w:r>
        <w:t xml:space="preserve">Enfin dans une dernière étape, nous avons étudié l'effet du flux lumineux, type d'agitateur, ainsi que la vitesse d'agitation sur l'activité </w:t>
      </w:r>
      <w:proofErr w:type="spellStart"/>
      <w:r>
        <w:t>photocatalytique</w:t>
      </w:r>
      <w:proofErr w:type="spellEnd"/>
      <w:r>
        <w:t>.</w:t>
      </w:r>
    </w:p>
    <w:sectPr w:rsidR="00AB423E" w:rsidSect="00AB423E">
      <w:pgSz w:w="11906" w:h="16838"/>
      <w:pgMar w:top="1440" w:right="1800" w:bottom="1440" w:left="180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E55142"/>
    <w:rsid w:val="00AB423E"/>
    <w:rsid w:val="00E55142"/>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B423E"/>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208</Words>
  <Characters>1147</Characters>
  <Application>Microsoft Office Word</Application>
  <DocSecurity>0</DocSecurity>
  <Lines>9</Lines>
  <Paragraphs>2</Paragraphs>
  <ScaleCrop>false</ScaleCrop>
  <Company/>
  <LinksUpToDate>false</LinksUpToDate>
  <CharactersWithSpaces>1353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traitement</dc:creator>
  <cp:lastModifiedBy>traitement</cp:lastModifiedBy>
  <cp:revision>2</cp:revision>
  <dcterms:created xsi:type="dcterms:W3CDTF">2015-04-13T12:29:00Z</dcterms:created>
  <dcterms:modified xsi:type="dcterms:W3CDTF">2015-04-13T12:29:00Z</dcterms:modified>
</cp:coreProperties>
</file>