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162A" w:rsidRPr="0031162A" w:rsidRDefault="0031162A" w:rsidP="0031162A">
      <w:pPr>
        <w:jc w:val="left"/>
        <w:rPr>
          <w:rFonts w:ascii="Times New Roman" w:hAnsi="Times New Roman"/>
          <w:sz w:val="24"/>
          <w:szCs w:val="24"/>
        </w:rPr>
      </w:pPr>
      <w:r w:rsidRPr="0031162A">
        <w:rPr>
          <w:rFonts w:ascii="Times New Roman" w:hAnsi="Times New Roman"/>
          <w:sz w:val="24"/>
          <w:szCs w:val="24"/>
        </w:rPr>
        <w:t>L'objectif du travail de recherche qui m'a été confié dans le cadre de cette thèse s'articule autour de la mise, au point d'une stratégie de synthèse permettant l'accès à de nouvelles séries de molécules hétérocycliques fonctionnelles potentiellement bioactives : 2-</w:t>
      </w:r>
      <w:proofErr w:type="spellStart"/>
      <w:r w:rsidRPr="0031162A">
        <w:rPr>
          <w:rFonts w:ascii="Times New Roman" w:hAnsi="Times New Roman"/>
          <w:sz w:val="24"/>
          <w:szCs w:val="24"/>
        </w:rPr>
        <w:t>thioxo</w:t>
      </w:r>
      <w:proofErr w:type="spellEnd"/>
      <w:r w:rsidRPr="0031162A">
        <w:rPr>
          <w:rFonts w:ascii="Times New Roman" w:hAnsi="Times New Roman"/>
          <w:sz w:val="24"/>
          <w:szCs w:val="24"/>
        </w:rPr>
        <w:t>-</w:t>
      </w:r>
      <w:proofErr w:type="spellStart"/>
      <w:r w:rsidRPr="0031162A">
        <w:rPr>
          <w:rFonts w:ascii="Times New Roman" w:hAnsi="Times New Roman"/>
          <w:sz w:val="24"/>
          <w:szCs w:val="24"/>
        </w:rPr>
        <w:t>imidazolidinone</w:t>
      </w:r>
      <w:proofErr w:type="spellEnd"/>
      <w:r w:rsidRPr="0031162A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Pr="0031162A">
        <w:rPr>
          <w:rFonts w:ascii="Times New Roman" w:hAnsi="Times New Roman"/>
          <w:sz w:val="24"/>
          <w:szCs w:val="24"/>
        </w:rPr>
        <w:t>thiohydantoïne</w:t>
      </w:r>
      <w:proofErr w:type="spellEnd"/>
      <w:r w:rsidRPr="0031162A">
        <w:rPr>
          <w:rFonts w:ascii="Times New Roman" w:hAnsi="Times New Roman"/>
          <w:sz w:val="24"/>
          <w:szCs w:val="24"/>
        </w:rPr>
        <w:t xml:space="preserve">) et </w:t>
      </w:r>
      <w:proofErr w:type="spellStart"/>
      <w:proofErr w:type="gramStart"/>
      <w:r w:rsidRPr="0031162A">
        <w:rPr>
          <w:rFonts w:ascii="Times New Roman" w:hAnsi="Times New Roman"/>
          <w:sz w:val="24"/>
          <w:szCs w:val="24"/>
        </w:rPr>
        <w:t>thiazolo</w:t>
      </w:r>
      <w:proofErr w:type="spellEnd"/>
      <w:r w:rsidRPr="0031162A">
        <w:rPr>
          <w:rFonts w:ascii="Times New Roman" w:hAnsi="Times New Roman"/>
          <w:sz w:val="24"/>
          <w:szCs w:val="24"/>
        </w:rPr>
        <w:t>[</w:t>
      </w:r>
      <w:proofErr w:type="gramEnd"/>
      <w:r w:rsidRPr="0031162A">
        <w:rPr>
          <w:rFonts w:ascii="Times New Roman" w:hAnsi="Times New Roman"/>
          <w:sz w:val="24"/>
          <w:szCs w:val="24"/>
        </w:rPr>
        <w:t xml:space="preserve">3,2-a] </w:t>
      </w:r>
      <w:proofErr w:type="spellStart"/>
      <w:r w:rsidRPr="0031162A">
        <w:rPr>
          <w:rFonts w:ascii="Times New Roman" w:hAnsi="Times New Roman"/>
          <w:sz w:val="24"/>
          <w:szCs w:val="24"/>
        </w:rPr>
        <w:t>benzimidazole</w:t>
      </w:r>
      <w:proofErr w:type="spellEnd"/>
      <w:r w:rsidRPr="0031162A">
        <w:rPr>
          <w:rFonts w:ascii="Times New Roman" w:hAnsi="Times New Roman"/>
          <w:sz w:val="24"/>
          <w:szCs w:val="24"/>
        </w:rPr>
        <w:t xml:space="preserve">. Le choix des précurseurs (la </w:t>
      </w:r>
      <w:proofErr w:type="spellStart"/>
      <w:r w:rsidRPr="0031162A">
        <w:rPr>
          <w:rFonts w:ascii="Times New Roman" w:hAnsi="Times New Roman"/>
          <w:sz w:val="24"/>
          <w:szCs w:val="24"/>
        </w:rPr>
        <w:t>maleimide</w:t>
      </w:r>
      <w:proofErr w:type="spellEnd"/>
      <w:r w:rsidRPr="0031162A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31162A">
        <w:rPr>
          <w:rFonts w:ascii="Times New Roman" w:hAnsi="Times New Roman"/>
          <w:sz w:val="24"/>
          <w:szCs w:val="24"/>
        </w:rPr>
        <w:t>dihydropyrone</w:t>
      </w:r>
      <w:proofErr w:type="spellEnd"/>
      <w:r w:rsidRPr="0031162A">
        <w:rPr>
          <w:rFonts w:ascii="Times New Roman" w:hAnsi="Times New Roman"/>
          <w:sz w:val="24"/>
          <w:szCs w:val="24"/>
        </w:rPr>
        <w:t xml:space="preserve"> et son analogue l'acide </w:t>
      </w:r>
      <w:proofErr w:type="spellStart"/>
      <w:r w:rsidRPr="0031162A">
        <w:rPr>
          <w:rFonts w:ascii="Times New Roman" w:hAnsi="Times New Roman"/>
          <w:sz w:val="24"/>
          <w:szCs w:val="24"/>
        </w:rPr>
        <w:t>tétronique</w:t>
      </w:r>
      <w:proofErr w:type="spellEnd"/>
      <w:r w:rsidRPr="0031162A">
        <w:rPr>
          <w:rFonts w:ascii="Times New Roman" w:hAnsi="Times New Roman"/>
          <w:sz w:val="24"/>
          <w:szCs w:val="24"/>
        </w:rPr>
        <w:t>) s'est opéré sur la base de leur réactivité chimique ainsi que sur leurs intérêts thérapeutique et pharmacologique.</w:t>
      </w:r>
    </w:p>
    <w:p w:rsidR="0031162A" w:rsidRPr="0031162A" w:rsidRDefault="0031162A" w:rsidP="0031162A">
      <w:pPr>
        <w:jc w:val="left"/>
        <w:rPr>
          <w:rFonts w:ascii="Times New Roman" w:hAnsi="Times New Roman"/>
          <w:sz w:val="24"/>
          <w:szCs w:val="24"/>
        </w:rPr>
      </w:pPr>
      <w:r w:rsidRPr="0031162A">
        <w:rPr>
          <w:rFonts w:ascii="Times New Roman" w:hAnsi="Times New Roman"/>
          <w:sz w:val="24"/>
          <w:szCs w:val="24"/>
        </w:rPr>
        <w:t xml:space="preserve">L'action de l'acide </w:t>
      </w:r>
      <w:proofErr w:type="spellStart"/>
      <w:r w:rsidRPr="0031162A">
        <w:rPr>
          <w:rFonts w:ascii="Times New Roman" w:hAnsi="Times New Roman"/>
          <w:sz w:val="24"/>
          <w:szCs w:val="24"/>
        </w:rPr>
        <w:t>cyanoacetique</w:t>
      </w:r>
      <w:proofErr w:type="spellEnd"/>
      <w:r w:rsidRPr="0031162A">
        <w:rPr>
          <w:rFonts w:ascii="Times New Roman" w:hAnsi="Times New Roman"/>
          <w:sz w:val="24"/>
          <w:szCs w:val="24"/>
        </w:rPr>
        <w:t xml:space="preserve"> hydrazide sur la </w:t>
      </w:r>
      <w:proofErr w:type="spellStart"/>
      <w:r w:rsidRPr="0031162A">
        <w:rPr>
          <w:rFonts w:ascii="Times New Roman" w:hAnsi="Times New Roman"/>
          <w:sz w:val="24"/>
          <w:szCs w:val="24"/>
        </w:rPr>
        <w:t>maleimide</w:t>
      </w:r>
      <w:proofErr w:type="spellEnd"/>
      <w:r w:rsidRPr="0031162A">
        <w:rPr>
          <w:rFonts w:ascii="Times New Roman" w:hAnsi="Times New Roman"/>
          <w:sz w:val="24"/>
          <w:szCs w:val="24"/>
        </w:rPr>
        <w:t>, nous a permis d'isoler de nouveaux composés qui ont servi comme produit de base à la synthèse de nouvelles séries hétérocycliques de type 2-</w:t>
      </w:r>
      <w:proofErr w:type="spellStart"/>
      <w:r w:rsidRPr="0031162A">
        <w:rPr>
          <w:rFonts w:ascii="Times New Roman" w:hAnsi="Times New Roman"/>
          <w:sz w:val="24"/>
          <w:szCs w:val="24"/>
        </w:rPr>
        <w:t>thioxo</w:t>
      </w:r>
      <w:proofErr w:type="spellEnd"/>
      <w:r w:rsidRPr="0031162A">
        <w:rPr>
          <w:rFonts w:ascii="Times New Roman" w:hAnsi="Times New Roman"/>
          <w:sz w:val="24"/>
          <w:szCs w:val="24"/>
        </w:rPr>
        <w:t>-</w:t>
      </w:r>
      <w:proofErr w:type="spellStart"/>
      <w:r w:rsidRPr="0031162A">
        <w:rPr>
          <w:rFonts w:ascii="Times New Roman" w:hAnsi="Times New Roman"/>
          <w:sz w:val="24"/>
          <w:szCs w:val="24"/>
        </w:rPr>
        <w:t>imidazolidinone</w:t>
      </w:r>
      <w:proofErr w:type="spellEnd"/>
      <w:r w:rsidRPr="0031162A">
        <w:rPr>
          <w:rFonts w:ascii="Times New Roman" w:hAnsi="Times New Roman"/>
          <w:sz w:val="24"/>
          <w:szCs w:val="24"/>
        </w:rPr>
        <w:t xml:space="preserve"> . </w:t>
      </w:r>
    </w:p>
    <w:p w:rsidR="0031162A" w:rsidRPr="0031162A" w:rsidRDefault="0031162A" w:rsidP="0031162A">
      <w:pPr>
        <w:jc w:val="left"/>
        <w:rPr>
          <w:rFonts w:ascii="Times New Roman" w:hAnsi="Times New Roman"/>
          <w:sz w:val="24"/>
          <w:szCs w:val="24"/>
        </w:rPr>
      </w:pPr>
      <w:r w:rsidRPr="0031162A">
        <w:rPr>
          <w:rFonts w:ascii="Times New Roman" w:hAnsi="Times New Roman"/>
          <w:sz w:val="24"/>
          <w:szCs w:val="24"/>
        </w:rPr>
        <w:t xml:space="preserve">L'évaluation de l'activité antimicrobienne de ces composés a révélé une activité inhibitrice importante. </w:t>
      </w:r>
    </w:p>
    <w:p w:rsidR="0031162A" w:rsidRPr="0031162A" w:rsidRDefault="0031162A" w:rsidP="0031162A">
      <w:pPr>
        <w:jc w:val="left"/>
        <w:rPr>
          <w:rFonts w:ascii="Times New Roman" w:hAnsi="Times New Roman"/>
          <w:sz w:val="24"/>
          <w:szCs w:val="24"/>
        </w:rPr>
      </w:pPr>
      <w:r w:rsidRPr="0031162A">
        <w:rPr>
          <w:rFonts w:ascii="Times New Roman" w:hAnsi="Times New Roman"/>
          <w:sz w:val="24"/>
          <w:szCs w:val="24"/>
        </w:rPr>
        <w:t xml:space="preserve">Nous avons également mis au point une méthode de synthèse de dérivés condensés inédits  correspondant à la juxtaposition de deux hétérocycles très recherchés, le </w:t>
      </w:r>
      <w:proofErr w:type="spellStart"/>
      <w:r w:rsidRPr="0031162A">
        <w:rPr>
          <w:rFonts w:ascii="Times New Roman" w:hAnsi="Times New Roman"/>
          <w:sz w:val="24"/>
          <w:szCs w:val="24"/>
        </w:rPr>
        <w:t>benzimidazole</w:t>
      </w:r>
      <w:proofErr w:type="spellEnd"/>
      <w:r w:rsidRPr="0031162A">
        <w:rPr>
          <w:rFonts w:ascii="Times New Roman" w:hAnsi="Times New Roman"/>
          <w:sz w:val="24"/>
          <w:szCs w:val="24"/>
        </w:rPr>
        <w:t xml:space="preserve"> et le thiazole. </w:t>
      </w:r>
    </w:p>
    <w:p w:rsidR="00BA2E19" w:rsidRPr="0031162A" w:rsidRDefault="0031162A" w:rsidP="0031162A">
      <w:pPr>
        <w:jc w:val="left"/>
        <w:rPr>
          <w:rtl/>
        </w:rPr>
      </w:pPr>
      <w:r w:rsidRPr="0031162A">
        <w:rPr>
          <w:rFonts w:ascii="Times New Roman" w:hAnsi="Times New Roman"/>
          <w:sz w:val="24"/>
          <w:szCs w:val="24"/>
        </w:rPr>
        <w:t>La structure de l'ensemble des produits obtenus a été élucidée à partir des méthodes spectroscopiques usuelles.</w:t>
      </w:r>
    </w:p>
    <w:sectPr w:rsidR="00BA2E19" w:rsidRPr="0031162A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1E5C28"/>
    <w:multiLevelType w:val="hybridMultilevel"/>
    <w:tmpl w:val="AD1A5438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E3A3B"/>
    <w:rsid w:val="000F7A67"/>
    <w:rsid w:val="001A0B89"/>
    <w:rsid w:val="002214A4"/>
    <w:rsid w:val="002701CD"/>
    <w:rsid w:val="00280B15"/>
    <w:rsid w:val="002C3E8D"/>
    <w:rsid w:val="0031162A"/>
    <w:rsid w:val="00311E08"/>
    <w:rsid w:val="00321F52"/>
    <w:rsid w:val="00331277"/>
    <w:rsid w:val="00334D8A"/>
    <w:rsid w:val="0034258A"/>
    <w:rsid w:val="003A796B"/>
    <w:rsid w:val="003D2F35"/>
    <w:rsid w:val="003E69F6"/>
    <w:rsid w:val="003F310A"/>
    <w:rsid w:val="00426714"/>
    <w:rsid w:val="00434F66"/>
    <w:rsid w:val="00491D7D"/>
    <w:rsid w:val="004D4A4F"/>
    <w:rsid w:val="004D6F79"/>
    <w:rsid w:val="00521727"/>
    <w:rsid w:val="00523A64"/>
    <w:rsid w:val="00565AA9"/>
    <w:rsid w:val="00573BFD"/>
    <w:rsid w:val="005854F9"/>
    <w:rsid w:val="005B6953"/>
    <w:rsid w:val="005F22D0"/>
    <w:rsid w:val="005F47AF"/>
    <w:rsid w:val="0062768E"/>
    <w:rsid w:val="00637238"/>
    <w:rsid w:val="0067011E"/>
    <w:rsid w:val="006704C5"/>
    <w:rsid w:val="006C36A5"/>
    <w:rsid w:val="007410E4"/>
    <w:rsid w:val="00751822"/>
    <w:rsid w:val="00753AE2"/>
    <w:rsid w:val="00767D68"/>
    <w:rsid w:val="007A7F5D"/>
    <w:rsid w:val="007B11D7"/>
    <w:rsid w:val="0080117F"/>
    <w:rsid w:val="00864C32"/>
    <w:rsid w:val="00893F32"/>
    <w:rsid w:val="00906711"/>
    <w:rsid w:val="009B4078"/>
    <w:rsid w:val="009C0E77"/>
    <w:rsid w:val="009D0F83"/>
    <w:rsid w:val="009E217B"/>
    <w:rsid w:val="009E33B6"/>
    <w:rsid w:val="00A53F06"/>
    <w:rsid w:val="00A555F6"/>
    <w:rsid w:val="00A942A1"/>
    <w:rsid w:val="00AA61CD"/>
    <w:rsid w:val="00AB29CA"/>
    <w:rsid w:val="00AB5276"/>
    <w:rsid w:val="00AD52D6"/>
    <w:rsid w:val="00AE1983"/>
    <w:rsid w:val="00AE4A8A"/>
    <w:rsid w:val="00B23BE0"/>
    <w:rsid w:val="00B3099D"/>
    <w:rsid w:val="00B41A24"/>
    <w:rsid w:val="00B60D2E"/>
    <w:rsid w:val="00B64118"/>
    <w:rsid w:val="00B705B7"/>
    <w:rsid w:val="00B756B6"/>
    <w:rsid w:val="00BA2E19"/>
    <w:rsid w:val="00BA3A1F"/>
    <w:rsid w:val="00BC5AE1"/>
    <w:rsid w:val="00C038B1"/>
    <w:rsid w:val="00C06CA0"/>
    <w:rsid w:val="00C26198"/>
    <w:rsid w:val="00C431AD"/>
    <w:rsid w:val="00C51DB2"/>
    <w:rsid w:val="00C562C6"/>
    <w:rsid w:val="00C5687E"/>
    <w:rsid w:val="00CC0B8B"/>
    <w:rsid w:val="00CC4896"/>
    <w:rsid w:val="00CE63AF"/>
    <w:rsid w:val="00CF2D39"/>
    <w:rsid w:val="00D10B15"/>
    <w:rsid w:val="00D50979"/>
    <w:rsid w:val="00D601D7"/>
    <w:rsid w:val="00E412C7"/>
    <w:rsid w:val="00E6735E"/>
    <w:rsid w:val="00E904AD"/>
    <w:rsid w:val="00EB052E"/>
    <w:rsid w:val="00F13A56"/>
    <w:rsid w:val="00F323BA"/>
    <w:rsid w:val="00F64452"/>
    <w:rsid w:val="00F74862"/>
    <w:rsid w:val="00F92273"/>
    <w:rsid w:val="00F9438B"/>
    <w:rsid w:val="00FB34D4"/>
    <w:rsid w:val="00FC6982"/>
    <w:rsid w:val="00FF0F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0E4"/>
    <w:pPr>
      <w:spacing w:after="0" w:line="480" w:lineRule="auto"/>
      <w:jc w:val="center"/>
    </w:pPr>
    <w:rPr>
      <w:rFonts w:ascii="Calibri" w:eastAsia="Calibri" w:hAnsi="Calibri" w:cs="Arial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3099D"/>
    <w:pPr>
      <w:bidi/>
      <w:spacing w:line="240" w:lineRule="auto"/>
      <w:jc w:val="left"/>
    </w:pPr>
    <w:rPr>
      <w:rFonts w:ascii="Tahoma" w:eastAsiaTheme="minorHAnsi" w:hAnsi="Tahoma" w:cs="Tahoma"/>
      <w:sz w:val="16"/>
      <w:szCs w:val="16"/>
      <w:lang w:val="en-US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3099D"/>
    <w:rPr>
      <w:rFonts w:ascii="Tahoma" w:hAnsi="Tahoma" w:cs="Tahoma"/>
      <w:sz w:val="16"/>
      <w:szCs w:val="16"/>
    </w:rPr>
  </w:style>
  <w:style w:type="paragraph" w:styleId="Corpsdetexte">
    <w:name w:val="Body Text"/>
    <w:basedOn w:val="Normal"/>
    <w:link w:val="CorpsdetexteCar"/>
    <w:semiHidden/>
    <w:rsid w:val="00FC6982"/>
    <w:pPr>
      <w:spacing w:line="360" w:lineRule="auto"/>
      <w:jc w:val="both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CorpsdetexteCar">
    <w:name w:val="Corps de texte Car"/>
    <w:basedOn w:val="Policepardfaut"/>
    <w:link w:val="Corpsdetexte"/>
    <w:semiHidden/>
    <w:rsid w:val="00FC6982"/>
    <w:rPr>
      <w:rFonts w:ascii="Times New Roman" w:eastAsia="Times New Roman" w:hAnsi="Times New Roman" w:cs="Times New Roman"/>
      <w:sz w:val="24"/>
      <w:szCs w:val="24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1071</TotalTime>
  <Pages>1</Pages>
  <Words>176</Words>
  <Characters>1008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91</cp:revision>
  <dcterms:created xsi:type="dcterms:W3CDTF">2014-12-07T11:07:00Z</dcterms:created>
  <dcterms:modified xsi:type="dcterms:W3CDTF">2014-12-15T13:54:00Z</dcterms:modified>
</cp:coreProperties>
</file>