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7E8C" w:rsidRDefault="00237E8C" w:rsidP="00AD1C62">
      <w:pPr>
        <w:autoSpaceDE w:val="0"/>
        <w:autoSpaceDN w:val="0"/>
        <w:adjustRightInd w:val="0"/>
        <w:spacing w:after="0" w:line="240" w:lineRule="auto"/>
        <w:jc w:val="center"/>
        <w:rPr>
          <w:rFonts w:asciiTheme="majorBidi" w:eastAsiaTheme="minorHAnsi" w:hAnsiTheme="majorBidi" w:cstheme="majorBidi"/>
          <w:b/>
          <w:bCs/>
          <w:color w:val="000000"/>
          <w:sz w:val="32"/>
          <w:szCs w:val="32"/>
        </w:rPr>
      </w:pPr>
    </w:p>
    <w:p w:rsidR="00AD1C62" w:rsidRPr="00AD1C62" w:rsidRDefault="00AD1C62" w:rsidP="00AD1C62">
      <w:pPr>
        <w:autoSpaceDE w:val="0"/>
        <w:autoSpaceDN w:val="0"/>
        <w:adjustRightInd w:val="0"/>
        <w:spacing w:after="0" w:line="240" w:lineRule="auto"/>
        <w:jc w:val="center"/>
        <w:rPr>
          <w:rFonts w:asciiTheme="majorBidi" w:eastAsiaTheme="minorHAnsi" w:hAnsiTheme="majorBidi" w:cstheme="majorBidi"/>
          <w:color w:val="000000"/>
          <w:sz w:val="32"/>
          <w:szCs w:val="32"/>
        </w:rPr>
      </w:pPr>
      <w:r w:rsidRPr="00AD1C62">
        <w:rPr>
          <w:rFonts w:asciiTheme="majorBidi" w:eastAsiaTheme="minorHAnsi" w:hAnsiTheme="majorBidi" w:cstheme="majorBidi"/>
          <w:b/>
          <w:bCs/>
          <w:color w:val="000000"/>
          <w:sz w:val="32"/>
          <w:szCs w:val="32"/>
        </w:rPr>
        <w:t xml:space="preserve">UNIVERSITE DES SCIENCES ET DE LA TECHNOLOGIE </w:t>
      </w:r>
    </w:p>
    <w:p w:rsidR="00AD1C62" w:rsidRPr="00AD1C62" w:rsidRDefault="00AD1C62" w:rsidP="00AD1C62">
      <w:pPr>
        <w:autoSpaceDE w:val="0"/>
        <w:autoSpaceDN w:val="0"/>
        <w:adjustRightInd w:val="0"/>
        <w:spacing w:after="0" w:line="240" w:lineRule="auto"/>
        <w:jc w:val="center"/>
        <w:rPr>
          <w:rFonts w:asciiTheme="majorBidi" w:eastAsiaTheme="minorHAnsi" w:hAnsiTheme="majorBidi" w:cstheme="majorBidi"/>
          <w:b/>
          <w:bCs/>
          <w:color w:val="000000"/>
          <w:sz w:val="16"/>
          <w:szCs w:val="16"/>
        </w:rPr>
      </w:pPr>
      <w:r w:rsidRPr="00AD1C62">
        <w:rPr>
          <w:rFonts w:asciiTheme="majorBidi" w:eastAsiaTheme="minorHAnsi" w:hAnsiTheme="majorBidi" w:cstheme="majorBidi"/>
          <w:b/>
          <w:bCs/>
          <w:color w:val="000000"/>
          <w:sz w:val="32"/>
          <w:szCs w:val="32"/>
        </w:rPr>
        <w:t xml:space="preserve">HOUARI BOUMEDIENE </w:t>
      </w:r>
    </w:p>
    <w:p w:rsidR="00AD1C62" w:rsidRPr="00AD1C62" w:rsidRDefault="00AD1C62" w:rsidP="00AD1C62">
      <w:pPr>
        <w:spacing w:after="0" w:line="240" w:lineRule="auto"/>
        <w:jc w:val="center"/>
        <w:rPr>
          <w:rFonts w:asciiTheme="majorBidi" w:eastAsiaTheme="minorHAnsi" w:hAnsiTheme="majorBidi" w:cstheme="majorBidi"/>
          <w:b/>
          <w:bCs/>
          <w:sz w:val="28"/>
          <w:szCs w:val="28"/>
        </w:rPr>
      </w:pPr>
      <w:r w:rsidRPr="00AD1C62">
        <w:rPr>
          <w:rFonts w:asciiTheme="majorBidi" w:eastAsiaTheme="minorHAnsi" w:hAnsiTheme="majorBidi" w:cstheme="majorBidi"/>
          <w:b/>
          <w:bCs/>
          <w:sz w:val="28"/>
          <w:szCs w:val="28"/>
        </w:rPr>
        <w:t>Faculté de Physique</w:t>
      </w:r>
    </w:p>
    <w:p w:rsidR="00AD1C62" w:rsidRPr="00AD1C62" w:rsidRDefault="00AD1C62" w:rsidP="00AD1C62">
      <w:pPr>
        <w:spacing w:after="0" w:line="240" w:lineRule="auto"/>
        <w:jc w:val="center"/>
        <w:rPr>
          <w:rFonts w:ascii="Times New Roman" w:hAnsi="Times New Roman" w:cs="Times New Roman"/>
          <w:sz w:val="28"/>
          <w:szCs w:val="28"/>
        </w:rPr>
      </w:pPr>
      <w:r w:rsidRPr="00AD1C62">
        <w:rPr>
          <w:rFonts w:ascii="Times New Roman" w:hAnsi="Times New Roman" w:cs="Times New Roman"/>
          <w:sz w:val="28"/>
          <w:szCs w:val="28"/>
        </w:rPr>
        <w:t xml:space="preserve">Laboratoire Physique </w:t>
      </w:r>
      <w:r w:rsidRPr="00AD1C62">
        <w:rPr>
          <w:rFonts w:ascii="Times New Roman" w:hAnsi="Times New Roman" w:cs="Times New Roman"/>
          <w:b/>
          <w:bCs/>
          <w:sz w:val="32"/>
          <w:szCs w:val="32"/>
        </w:rPr>
        <w:t>S</w:t>
      </w:r>
      <w:r w:rsidRPr="00AD1C62">
        <w:rPr>
          <w:rFonts w:ascii="Times New Roman" w:hAnsi="Times New Roman" w:cs="Times New Roman"/>
          <w:sz w:val="28"/>
          <w:szCs w:val="28"/>
        </w:rPr>
        <w:t xml:space="preserve">cience </w:t>
      </w:r>
      <w:r w:rsidRPr="00AD1C62">
        <w:rPr>
          <w:rFonts w:ascii="Times New Roman" w:hAnsi="Times New Roman" w:cs="Times New Roman"/>
          <w:b/>
          <w:bCs/>
          <w:sz w:val="32"/>
          <w:szCs w:val="32"/>
        </w:rPr>
        <w:t>N</w:t>
      </w:r>
      <w:r w:rsidRPr="00AD1C62">
        <w:rPr>
          <w:rFonts w:ascii="Times New Roman" w:hAnsi="Times New Roman" w:cs="Times New Roman"/>
          <w:sz w:val="28"/>
          <w:szCs w:val="28"/>
        </w:rPr>
        <w:t xml:space="preserve">ucléaire et </w:t>
      </w:r>
      <w:r w:rsidRPr="00AD1C62">
        <w:rPr>
          <w:rFonts w:ascii="Times New Roman" w:hAnsi="Times New Roman" w:cs="Times New Roman"/>
          <w:b/>
          <w:bCs/>
          <w:sz w:val="32"/>
          <w:szCs w:val="32"/>
        </w:rPr>
        <w:t>I</w:t>
      </w:r>
      <w:r w:rsidRPr="00AD1C62">
        <w:rPr>
          <w:rFonts w:ascii="Times New Roman" w:hAnsi="Times New Roman" w:cs="Times New Roman"/>
          <w:sz w:val="28"/>
          <w:szCs w:val="28"/>
        </w:rPr>
        <w:t xml:space="preserve">nteraction </w:t>
      </w:r>
      <w:r w:rsidRPr="00AD1C62">
        <w:rPr>
          <w:rFonts w:ascii="Times New Roman" w:hAnsi="Times New Roman" w:cs="Times New Roman"/>
          <w:b/>
          <w:bCs/>
          <w:sz w:val="32"/>
          <w:szCs w:val="32"/>
        </w:rPr>
        <w:t>R</w:t>
      </w:r>
      <w:r w:rsidRPr="00AD1C62">
        <w:rPr>
          <w:rFonts w:ascii="Times New Roman" w:hAnsi="Times New Roman" w:cs="Times New Roman"/>
          <w:sz w:val="28"/>
          <w:szCs w:val="28"/>
        </w:rPr>
        <w:t xml:space="preserve">ayonnement </w:t>
      </w:r>
      <w:r w:rsidRPr="00AD1C62">
        <w:rPr>
          <w:rFonts w:ascii="Times New Roman" w:hAnsi="Times New Roman" w:cs="Times New Roman"/>
          <w:b/>
          <w:bCs/>
          <w:sz w:val="32"/>
          <w:szCs w:val="32"/>
        </w:rPr>
        <w:t>M</w:t>
      </w:r>
      <w:r w:rsidRPr="00AD1C62">
        <w:rPr>
          <w:rFonts w:ascii="Times New Roman" w:hAnsi="Times New Roman" w:cs="Times New Roman"/>
          <w:sz w:val="28"/>
          <w:szCs w:val="28"/>
        </w:rPr>
        <w:t>atière</w:t>
      </w:r>
    </w:p>
    <w:p w:rsidR="00AD1C62" w:rsidRPr="00AD1C62" w:rsidRDefault="00AD1C62" w:rsidP="00AD1C62">
      <w:pPr>
        <w:spacing w:after="0" w:line="240" w:lineRule="auto"/>
        <w:rPr>
          <w:rFonts w:ascii="Times New Roman" w:hAnsi="Times New Roman" w:cs="Times New Roman"/>
          <w:sz w:val="24"/>
          <w:szCs w:val="24"/>
        </w:rPr>
      </w:pPr>
    </w:p>
    <w:p w:rsidR="00AD1C62" w:rsidRDefault="00AD1C62" w:rsidP="00AD1C62">
      <w:pPr>
        <w:spacing w:after="0" w:line="240" w:lineRule="auto"/>
        <w:jc w:val="center"/>
        <w:rPr>
          <w:rFonts w:ascii="Times New Roman" w:hAnsi="Times New Roman" w:cs="Times New Roman"/>
          <w:sz w:val="28"/>
          <w:szCs w:val="28"/>
        </w:rPr>
      </w:pPr>
      <w:r w:rsidRPr="00AD1C62">
        <w:rPr>
          <w:rFonts w:ascii="Times New Roman" w:hAnsi="Times New Roman" w:cs="Times New Roman"/>
          <w:sz w:val="28"/>
          <w:szCs w:val="28"/>
        </w:rPr>
        <w:t xml:space="preserve">Résumé de la Thèse de doctorat de Mr </w:t>
      </w:r>
      <w:proofErr w:type="spellStart"/>
      <w:r w:rsidRPr="00AD1C62">
        <w:rPr>
          <w:rFonts w:ascii="Times New Roman" w:hAnsi="Times New Roman" w:cs="Times New Roman"/>
          <w:sz w:val="28"/>
          <w:szCs w:val="28"/>
        </w:rPr>
        <w:t>Zirour</w:t>
      </w:r>
      <w:proofErr w:type="spellEnd"/>
      <w:r w:rsidRPr="00AD1C62">
        <w:rPr>
          <w:rFonts w:ascii="Times New Roman" w:hAnsi="Times New Roman" w:cs="Times New Roman"/>
          <w:sz w:val="28"/>
          <w:szCs w:val="28"/>
        </w:rPr>
        <w:t xml:space="preserve"> Hamza</w:t>
      </w:r>
    </w:p>
    <w:p w:rsidR="0016789E" w:rsidRDefault="0016789E" w:rsidP="00AD1C62">
      <w:pPr>
        <w:spacing w:after="0" w:line="240" w:lineRule="auto"/>
        <w:jc w:val="center"/>
        <w:rPr>
          <w:rFonts w:ascii="Times New Roman" w:hAnsi="Times New Roman" w:cs="Times New Roman"/>
          <w:sz w:val="28"/>
          <w:szCs w:val="28"/>
        </w:rPr>
      </w:pPr>
    </w:p>
    <w:p w:rsidR="0016789E" w:rsidRPr="0016789E" w:rsidRDefault="0016789E" w:rsidP="0016789E">
      <w:pPr>
        <w:spacing w:after="0" w:line="240" w:lineRule="auto"/>
        <w:jc w:val="center"/>
        <w:rPr>
          <w:rFonts w:ascii="Times New Roman" w:hAnsi="Times New Roman" w:cs="Times New Roman"/>
          <w:b/>
          <w:bCs/>
          <w:sz w:val="28"/>
          <w:szCs w:val="28"/>
        </w:rPr>
      </w:pPr>
      <w:r w:rsidRPr="0016789E">
        <w:rPr>
          <w:rFonts w:ascii="Times New Roman" w:hAnsi="Times New Roman" w:cs="Times New Roman"/>
          <w:b/>
          <w:bCs/>
          <w:sz w:val="28"/>
          <w:szCs w:val="28"/>
        </w:rPr>
        <w:t>Sujet</w:t>
      </w:r>
    </w:p>
    <w:tbl>
      <w:tblPr>
        <w:tblStyle w:val="Grilledutableau"/>
        <w:tblW w:w="960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604"/>
      </w:tblGrid>
      <w:tr w:rsidR="00AD1C62" w:rsidRPr="00AD1C62" w:rsidTr="00237E8C">
        <w:trPr>
          <w:trHeight w:val="948"/>
        </w:trPr>
        <w:tc>
          <w:tcPr>
            <w:tcW w:w="9604" w:type="dxa"/>
          </w:tcPr>
          <w:p w:rsidR="00AD1C62" w:rsidRPr="00AD1C62" w:rsidRDefault="00AD1C62" w:rsidP="007A538A">
            <w:pPr>
              <w:jc w:val="center"/>
              <w:rPr>
                <w:rFonts w:ascii="Times New Roman" w:hAnsi="Times New Roman" w:cs="Times New Roman"/>
                <w:b/>
                <w:bCs/>
                <w:sz w:val="32"/>
                <w:szCs w:val="32"/>
              </w:rPr>
            </w:pPr>
            <w:r w:rsidRPr="00AD1C62">
              <w:rPr>
                <w:rFonts w:ascii="Times New Roman" w:hAnsi="Times New Roman" w:cs="Times New Roman"/>
                <w:b/>
                <w:bCs/>
                <w:sz w:val="32"/>
                <w:szCs w:val="32"/>
              </w:rPr>
              <w:t>Etude des défauts induits dans Al</w:t>
            </w:r>
            <w:r w:rsidRPr="00AD1C62">
              <w:rPr>
                <w:rFonts w:ascii="Times New Roman" w:hAnsi="Times New Roman" w:cs="Times New Roman"/>
                <w:b/>
                <w:bCs/>
                <w:sz w:val="32"/>
                <w:szCs w:val="32"/>
                <w:vertAlign w:val="subscript"/>
              </w:rPr>
              <w:t>2</w:t>
            </w:r>
            <w:r w:rsidRPr="00AD1C62">
              <w:rPr>
                <w:rFonts w:ascii="Times New Roman" w:hAnsi="Times New Roman" w:cs="Times New Roman"/>
                <w:b/>
                <w:bCs/>
                <w:sz w:val="32"/>
                <w:szCs w:val="32"/>
              </w:rPr>
              <w:t>O</w:t>
            </w:r>
            <w:r w:rsidRPr="00AD1C62">
              <w:rPr>
                <w:rFonts w:ascii="Times New Roman" w:hAnsi="Times New Roman" w:cs="Times New Roman"/>
                <w:b/>
                <w:bCs/>
                <w:sz w:val="32"/>
                <w:szCs w:val="32"/>
                <w:vertAlign w:val="subscript"/>
              </w:rPr>
              <w:t>3</w:t>
            </w:r>
            <w:r w:rsidRPr="00AD1C62">
              <w:rPr>
                <w:rFonts w:ascii="Times New Roman" w:hAnsi="Times New Roman" w:cs="Times New Roman"/>
                <w:b/>
                <w:bCs/>
                <w:sz w:val="32"/>
                <w:szCs w:val="32"/>
              </w:rPr>
              <w:t xml:space="preserve"> successivement irradié aux Neutrons et aux ions de Xe de 90 MeV</w:t>
            </w:r>
          </w:p>
        </w:tc>
      </w:tr>
    </w:tbl>
    <w:p w:rsidR="0016789E" w:rsidRDefault="0016789E" w:rsidP="00AD1C62">
      <w:pPr>
        <w:rPr>
          <w:rFonts w:ascii="Times New Roman" w:hAnsi="Times New Roman" w:cs="Times New Roman"/>
          <w:b/>
          <w:bCs/>
          <w:sz w:val="28"/>
          <w:szCs w:val="28"/>
        </w:rPr>
      </w:pPr>
    </w:p>
    <w:p w:rsidR="00AD1C62" w:rsidRPr="00237E8C" w:rsidRDefault="00AD1C62" w:rsidP="00AD1C62">
      <w:pPr>
        <w:rPr>
          <w:rFonts w:ascii="Times New Roman" w:hAnsi="Times New Roman" w:cs="Times New Roman"/>
          <w:b/>
          <w:bCs/>
          <w:sz w:val="28"/>
          <w:szCs w:val="28"/>
        </w:rPr>
      </w:pPr>
      <w:r w:rsidRPr="00237E8C">
        <w:rPr>
          <w:rFonts w:ascii="Times New Roman" w:hAnsi="Times New Roman" w:cs="Times New Roman"/>
          <w:b/>
          <w:bCs/>
          <w:sz w:val="28"/>
          <w:szCs w:val="28"/>
        </w:rPr>
        <w:t xml:space="preserve">Résumé </w:t>
      </w:r>
    </w:p>
    <w:tbl>
      <w:tblPr>
        <w:tblW w:w="9504" w:type="dxa"/>
        <w:tblInd w:w="5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9504"/>
      </w:tblGrid>
      <w:tr w:rsidR="00AD1C62" w:rsidRPr="00F044EA" w:rsidTr="00237E8C">
        <w:trPr>
          <w:trHeight w:val="9061"/>
        </w:trPr>
        <w:tc>
          <w:tcPr>
            <w:tcW w:w="9504" w:type="dxa"/>
          </w:tcPr>
          <w:p w:rsidR="00AD1C62" w:rsidRDefault="00237E8C" w:rsidP="00AD1C6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D1C62">
              <w:rPr>
                <w:rFonts w:ascii="Times New Roman" w:hAnsi="Times New Roman" w:cs="Times New Roman"/>
                <w:sz w:val="24"/>
                <w:szCs w:val="24"/>
              </w:rPr>
              <w:t>Le travail mené dans le cadre de cette thèse reporte l’effet d’i</w:t>
            </w:r>
            <w:r w:rsidR="00413B37">
              <w:rPr>
                <w:rFonts w:ascii="Times New Roman" w:hAnsi="Times New Roman" w:cs="Times New Roman"/>
                <w:sz w:val="24"/>
                <w:szCs w:val="24"/>
              </w:rPr>
              <w:t>rradiation aux ions de</w:t>
            </w:r>
            <w:r>
              <w:rPr>
                <w:rFonts w:ascii="Times New Roman" w:hAnsi="Times New Roman" w:cs="Times New Roman"/>
                <w:sz w:val="24"/>
                <w:szCs w:val="24"/>
              </w:rPr>
              <w:t xml:space="preserve"> Xe de 90 </w:t>
            </w:r>
            <w:r w:rsidR="00AD1C62">
              <w:rPr>
                <w:rFonts w:ascii="Times New Roman" w:hAnsi="Times New Roman" w:cs="Times New Roman"/>
                <w:sz w:val="24"/>
                <w:szCs w:val="24"/>
              </w:rPr>
              <w:t>MeV sur l’alumine (Al</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Pr>
                <w:rFonts w:ascii="Times New Roman" w:hAnsi="Times New Roman" w:cs="Times New Roman"/>
                <w:sz w:val="24"/>
                <w:szCs w:val="24"/>
                <w:vertAlign w:val="subscript"/>
              </w:rPr>
              <w:t>3</w:t>
            </w:r>
            <w:r w:rsidR="00AD1C62">
              <w:rPr>
                <w:rFonts w:ascii="Times New Roman" w:hAnsi="Times New Roman" w:cs="Times New Roman"/>
                <w:sz w:val="24"/>
                <w:szCs w:val="24"/>
              </w:rPr>
              <w:t>) antérieurement irradié aux neutrons. Ceci dans le but de comprendre l’influence d’une ionisation et excitation électronique sur l’évolution des défauts ponctuels induit par les neutrons rapides. Nous avons choisi α-Al</w:t>
            </w:r>
            <w:r w:rsidR="00AD1C62" w:rsidRPr="00CC273F">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sidRPr="00CC273F">
              <w:rPr>
                <w:rFonts w:ascii="Times New Roman" w:hAnsi="Times New Roman" w:cs="Times New Roman"/>
                <w:sz w:val="24"/>
                <w:szCs w:val="24"/>
                <w:vertAlign w:val="subscript"/>
              </w:rPr>
              <w:t>3</w:t>
            </w:r>
            <w:r w:rsidR="00AD1C62">
              <w:rPr>
                <w:rFonts w:ascii="Times New Roman" w:hAnsi="Times New Roman" w:cs="Times New Roman"/>
                <w:sz w:val="24"/>
                <w:szCs w:val="24"/>
              </w:rPr>
              <w:t xml:space="preserve"> monocristallin à cause de ses multiples propriétés, en particulier sa résistance à l’irradiation. Trois séries d’irradiation ont été effectuées : (i) une irradiation aux neutrons auprès du réacteur NUR de </w:t>
            </w:r>
            <w:proofErr w:type="spellStart"/>
            <w:r w:rsidR="00AD1C62">
              <w:rPr>
                <w:rFonts w:ascii="Times New Roman" w:hAnsi="Times New Roman" w:cs="Times New Roman"/>
                <w:sz w:val="24"/>
                <w:szCs w:val="24"/>
              </w:rPr>
              <w:t>Draria</w:t>
            </w:r>
            <w:proofErr w:type="spellEnd"/>
            <w:r w:rsidR="00AD1C62">
              <w:rPr>
                <w:rFonts w:ascii="Times New Roman" w:hAnsi="Times New Roman" w:cs="Times New Roman"/>
                <w:sz w:val="24"/>
                <w:szCs w:val="24"/>
              </w:rPr>
              <w:t xml:space="preserve"> à différentes fluences. (ii) une irradiation aux ions de Xe de 90 MeV à différentes fluences réalisée auprès du Grand Accélérateur d’Ions Lourds (GANIL) Caen, France. (iii) Une irradiation aux neutrons suivie d’une irradiation aux ions de Xe de 90 MeV. Après l’irradiation, plusieurs techniques ont été utilisées pour caractériser les défauts induits : La spectrométrie UV-visible, la spectroscopie </w:t>
            </w:r>
            <w:proofErr w:type="spellStart"/>
            <w:r w:rsidRPr="00237E8C">
              <w:rPr>
                <w:rFonts w:ascii="Times New Roman" w:hAnsi="Times New Roman" w:cs="Times New Roman"/>
                <w:sz w:val="24"/>
                <w:szCs w:val="24"/>
              </w:rPr>
              <w:t>Attenuated</w:t>
            </w:r>
            <w:proofErr w:type="spellEnd"/>
            <w:r w:rsidRPr="00237E8C">
              <w:rPr>
                <w:rFonts w:ascii="Times New Roman" w:hAnsi="Times New Roman" w:cs="Times New Roman"/>
                <w:sz w:val="24"/>
                <w:szCs w:val="24"/>
              </w:rPr>
              <w:t xml:space="preserve"> Total </w:t>
            </w:r>
            <w:proofErr w:type="spellStart"/>
            <w:r w:rsidRPr="00237E8C">
              <w:rPr>
                <w:rFonts w:ascii="Times New Roman" w:hAnsi="Times New Roman" w:cs="Times New Roman"/>
                <w:sz w:val="24"/>
                <w:szCs w:val="24"/>
              </w:rPr>
              <w:t>Reflection</w:t>
            </w:r>
            <w:proofErr w:type="spellEnd"/>
            <w:r>
              <w:rPr>
                <w:rFonts w:ascii="Times New Roman" w:hAnsi="Times New Roman" w:cs="Times New Roman"/>
                <w:sz w:val="24"/>
                <w:szCs w:val="24"/>
              </w:rPr>
              <w:t>-</w:t>
            </w:r>
            <w:r w:rsidR="00AD1C62">
              <w:rPr>
                <w:rFonts w:ascii="Times New Roman" w:hAnsi="Times New Roman" w:cs="Times New Roman"/>
                <w:sz w:val="24"/>
                <w:szCs w:val="24"/>
              </w:rPr>
              <w:t>Infrarouge à Transformée de Fourier (FTIR-ATR), la spectroscopie Raman et la diffraction des rayons X (DRX). Il faut noter que les techniques ATR-FTIR et la spectroscopie Raman permettent l’analyse d’une couche très mince de l’échantillon. La profondeur sondée est inférieure à 04 µm ou la perte d’énergie des ions de Xe de 90 MeV s’effectue principalement par des excitations et ionisations. Les résultats expérimentaux indiquent que les défauts ponctuels induits dans l’Al</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Pr>
                <w:rFonts w:ascii="Times New Roman" w:hAnsi="Times New Roman" w:cs="Times New Roman"/>
                <w:sz w:val="24"/>
                <w:szCs w:val="24"/>
                <w:vertAlign w:val="subscript"/>
              </w:rPr>
              <w:t>3</w:t>
            </w:r>
            <w:r w:rsidR="00AD1C62">
              <w:rPr>
                <w:rFonts w:ascii="Times New Roman" w:hAnsi="Times New Roman" w:cs="Times New Roman"/>
                <w:sz w:val="24"/>
                <w:szCs w:val="24"/>
              </w:rPr>
              <w:t xml:space="preserve"> par irradiation aux neutrons et ions de Xe de 90 MeV sont des centres colorés de même nature. A hautes fluences, les centres F</w:t>
            </w:r>
            <w:r w:rsidR="00AD1C62">
              <w:rPr>
                <w:rFonts w:ascii="Times New Roman" w:hAnsi="Times New Roman" w:cs="Times New Roman"/>
                <w:sz w:val="24"/>
                <w:szCs w:val="24"/>
                <w:vertAlign w:val="superscript"/>
              </w:rPr>
              <w:t>+</w:t>
            </w:r>
            <w:r w:rsidR="00AD1C62">
              <w:rPr>
                <w:rFonts w:ascii="Times New Roman" w:hAnsi="Times New Roman" w:cs="Times New Roman"/>
                <w:sz w:val="24"/>
                <w:szCs w:val="24"/>
              </w:rPr>
              <w:t xml:space="preserve"> diffusent dans le Crystal et forme des agrégats (F</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 F</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vertAlign w:val="superscript"/>
              </w:rPr>
              <w:t>2+</w:t>
            </w:r>
            <w:r w:rsidR="00AD1C62">
              <w:rPr>
                <w:rFonts w:ascii="Times New Roman" w:hAnsi="Times New Roman" w:cs="Times New Roman"/>
                <w:sz w:val="24"/>
                <w:szCs w:val="24"/>
              </w:rPr>
              <w:t>, F</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vertAlign w:val="superscript"/>
              </w:rPr>
              <w:t>+</w:t>
            </w:r>
            <w:r w:rsidR="00AD1C62">
              <w:rPr>
                <w:rFonts w:ascii="Times New Roman" w:hAnsi="Times New Roman" w:cs="Times New Roman"/>
                <w:sz w:val="24"/>
                <w:szCs w:val="24"/>
              </w:rPr>
              <w:t>) montrant ainsi deux cinétiques différentes : une rapide observée à faible fluence suivie d’une lente à haute fluence. L’analyse par DRX montre que les neutrons rapides avec une fluence (&lt;10</w:t>
            </w:r>
            <w:r w:rsidR="00AD1C62">
              <w:rPr>
                <w:rFonts w:ascii="Times New Roman" w:hAnsi="Times New Roman" w:cs="Times New Roman"/>
                <w:sz w:val="24"/>
                <w:szCs w:val="24"/>
                <w:vertAlign w:val="superscript"/>
              </w:rPr>
              <w:t>18</w:t>
            </w:r>
            <w:r w:rsidR="00AD1C62">
              <w:rPr>
                <w:rFonts w:ascii="Times New Roman" w:hAnsi="Times New Roman" w:cs="Times New Roman"/>
                <w:sz w:val="24"/>
                <w:szCs w:val="24"/>
              </w:rPr>
              <w:t>n.cm</w:t>
            </w:r>
            <w:r w:rsidR="00AD1C62">
              <w:rPr>
                <w:rFonts w:ascii="Times New Roman" w:hAnsi="Times New Roman" w:cs="Times New Roman"/>
                <w:sz w:val="24"/>
                <w:szCs w:val="24"/>
                <w:vertAlign w:val="superscript"/>
              </w:rPr>
              <w:t>-2</w:t>
            </w:r>
            <w:r w:rsidR="00AD1C62">
              <w:rPr>
                <w:rFonts w:ascii="Times New Roman" w:hAnsi="Times New Roman" w:cs="Times New Roman"/>
                <w:sz w:val="24"/>
                <w:szCs w:val="24"/>
              </w:rPr>
              <w:t>) ne produit aucun changement dans la structure de Al</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Pr>
                <w:rFonts w:ascii="Times New Roman" w:hAnsi="Times New Roman" w:cs="Times New Roman"/>
                <w:sz w:val="24"/>
                <w:szCs w:val="24"/>
                <w:vertAlign w:val="subscript"/>
              </w:rPr>
              <w:t>3</w:t>
            </w:r>
            <w:r w:rsidR="00AD1C62">
              <w:rPr>
                <w:rFonts w:ascii="Times New Roman" w:hAnsi="Times New Roman" w:cs="Times New Roman"/>
                <w:sz w:val="24"/>
                <w:szCs w:val="24"/>
              </w:rPr>
              <w:t>. Les modifications observées sont dues principalement aux ions de Xe. Nous avons constaté un déplacement du pic (11-20) vers les faibles an</w:t>
            </w:r>
            <w:r w:rsidR="00F044EA">
              <w:rPr>
                <w:rFonts w:ascii="Times New Roman" w:hAnsi="Times New Roman" w:cs="Times New Roman"/>
                <w:sz w:val="24"/>
                <w:szCs w:val="24"/>
              </w:rPr>
              <w:t>gles indiquant le gonflement d’</w:t>
            </w:r>
            <w:r w:rsidR="00AD1C62">
              <w:rPr>
                <w:rFonts w:ascii="Times New Roman" w:hAnsi="Times New Roman" w:cs="Times New Roman"/>
                <w:sz w:val="24"/>
                <w:szCs w:val="24"/>
              </w:rPr>
              <w:t>Al</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Pr>
                <w:rFonts w:ascii="Times New Roman" w:hAnsi="Times New Roman" w:cs="Times New Roman"/>
                <w:sz w:val="24"/>
                <w:szCs w:val="24"/>
                <w:vertAlign w:val="subscript"/>
              </w:rPr>
              <w:t>3</w:t>
            </w:r>
            <w:r w:rsidR="00AD1C62">
              <w:rPr>
                <w:rFonts w:ascii="Times New Roman" w:hAnsi="Times New Roman" w:cs="Times New Roman"/>
                <w:sz w:val="24"/>
                <w:szCs w:val="24"/>
              </w:rPr>
              <w:t>. Ce déplacement atteint une valeur maximale inférieure à 1 indiquant une saturation partiale. L’ajustement des données expérimentales donne une saturation d’environ 40% et un rayon de trace d’environ 3 nm en accord avec les résultats publiés dans la littérature. De plus, à haute fluence au-delà de 3x10</w:t>
            </w:r>
            <w:r w:rsidR="00AD1C62">
              <w:rPr>
                <w:rFonts w:ascii="Times New Roman" w:hAnsi="Times New Roman" w:cs="Times New Roman"/>
                <w:sz w:val="24"/>
                <w:szCs w:val="24"/>
                <w:vertAlign w:val="superscript"/>
              </w:rPr>
              <w:t>13</w:t>
            </w:r>
            <w:r w:rsidR="00AD1C62">
              <w:rPr>
                <w:rFonts w:ascii="Times New Roman" w:hAnsi="Times New Roman" w:cs="Times New Roman"/>
                <w:sz w:val="24"/>
                <w:szCs w:val="24"/>
              </w:rPr>
              <w:t xml:space="preserve"> Xe.cm</w:t>
            </w:r>
            <w:r w:rsidR="00AD1C62">
              <w:rPr>
                <w:rFonts w:ascii="Times New Roman" w:hAnsi="Times New Roman" w:cs="Times New Roman"/>
                <w:sz w:val="24"/>
                <w:szCs w:val="24"/>
                <w:vertAlign w:val="superscript"/>
              </w:rPr>
              <w:t>-2</w:t>
            </w:r>
            <w:r w:rsidR="00AD1C62">
              <w:rPr>
                <w:rFonts w:ascii="Times New Roman" w:hAnsi="Times New Roman" w:cs="Times New Roman"/>
                <w:sz w:val="24"/>
                <w:szCs w:val="24"/>
              </w:rPr>
              <w:t xml:space="preserve"> un nouveau pic apparait à </w:t>
            </w:r>
            <w:r>
              <w:rPr>
                <w:rFonts w:ascii="Times New Roman" w:hAnsi="Times New Roman" w:cs="Times New Roman"/>
                <w:sz w:val="24"/>
                <w:szCs w:val="24"/>
              </w:rPr>
              <w:t xml:space="preserve">           </w:t>
            </w:r>
            <w:r w:rsidR="00AD1C62">
              <w:rPr>
                <w:rFonts w:ascii="Times New Roman" w:hAnsi="Times New Roman" w:cs="Times New Roman"/>
                <w:sz w:val="24"/>
                <w:szCs w:val="24"/>
              </w:rPr>
              <w:t>2</w:t>
            </w:r>
            <w:r w:rsidR="00AD1C62">
              <w:rPr>
                <w:rFonts w:ascii="Times New Roman" w:hAnsi="Times New Roman" w:cs="Times New Roman"/>
                <w:sz w:val="24"/>
                <w:szCs w:val="24"/>
              </w:rPr>
              <w:sym w:font="Symbol" w:char="F071"/>
            </w:r>
            <w:r w:rsidR="00AD1C62">
              <w:rPr>
                <w:rFonts w:ascii="Times New Roman" w:hAnsi="Times New Roman" w:cs="Times New Roman"/>
                <w:sz w:val="24"/>
                <w:szCs w:val="24"/>
              </w:rPr>
              <w:t xml:space="preserve"> = 38.03</w:t>
            </w:r>
            <w:r>
              <w:rPr>
                <w:rFonts w:ascii="Times New Roman" w:hAnsi="Times New Roman" w:cs="Times New Roman"/>
                <w:sz w:val="24"/>
                <w:szCs w:val="24"/>
              </w:rPr>
              <w:t>°</w:t>
            </w:r>
            <w:r w:rsidR="00AD1C62">
              <w:rPr>
                <w:rFonts w:ascii="Times New Roman" w:hAnsi="Times New Roman" w:cs="Times New Roman"/>
                <w:sz w:val="24"/>
                <w:szCs w:val="24"/>
              </w:rPr>
              <w:t xml:space="preserve"> attribué à la formation d’un nouveau plan correspondant probablement à un autre système cristallin de Al</w:t>
            </w:r>
            <w:r w:rsidR="00AD1C62">
              <w:rPr>
                <w:rFonts w:ascii="Times New Roman" w:hAnsi="Times New Roman" w:cs="Times New Roman"/>
                <w:sz w:val="24"/>
                <w:szCs w:val="24"/>
                <w:vertAlign w:val="subscript"/>
              </w:rPr>
              <w:t>2</w:t>
            </w:r>
            <w:r w:rsidR="00AD1C62">
              <w:rPr>
                <w:rFonts w:ascii="Times New Roman" w:hAnsi="Times New Roman" w:cs="Times New Roman"/>
                <w:sz w:val="24"/>
                <w:szCs w:val="24"/>
              </w:rPr>
              <w:t>O</w:t>
            </w:r>
            <w:r w:rsidR="00AD1C62">
              <w:rPr>
                <w:rFonts w:ascii="Times New Roman" w:hAnsi="Times New Roman" w:cs="Times New Roman"/>
                <w:sz w:val="24"/>
                <w:szCs w:val="24"/>
                <w:vertAlign w:val="subscript"/>
              </w:rPr>
              <w:t>3</w:t>
            </w:r>
            <w:r w:rsidR="00AD1C62">
              <w:rPr>
                <w:rFonts w:ascii="Times New Roman" w:hAnsi="Times New Roman" w:cs="Times New Roman"/>
                <w:sz w:val="24"/>
                <w:szCs w:val="24"/>
              </w:rPr>
              <w:t>.</w:t>
            </w:r>
          </w:p>
          <w:p w:rsidR="00AD1C62" w:rsidRDefault="00237E8C" w:rsidP="00AD1C62">
            <w:pPr>
              <w:jc w:val="both"/>
              <w:rPr>
                <w:rFonts w:ascii="Times New Roman" w:hAnsi="Times New Roman" w:cs="Times New Roman"/>
                <w:sz w:val="24"/>
                <w:szCs w:val="24"/>
              </w:rPr>
            </w:pPr>
            <w:r>
              <w:rPr>
                <w:rFonts w:ascii="Times New Roman" w:hAnsi="Times New Roman" w:cs="Times New Roman"/>
                <w:sz w:val="24"/>
                <w:szCs w:val="24"/>
              </w:rPr>
              <w:t xml:space="preserve">       </w:t>
            </w:r>
            <w:r w:rsidR="00AD1C62">
              <w:rPr>
                <w:rFonts w:ascii="Times New Roman" w:hAnsi="Times New Roman" w:cs="Times New Roman"/>
                <w:sz w:val="24"/>
                <w:szCs w:val="24"/>
              </w:rPr>
              <w:t>Les mesures effectuées par les techniques ATR-FTIR et Raman montrent que la concentration des défauts ponctuels induits antérieurement par les neutrons rapides a diminué après une irradiation successive avec des ions de Xe de 90 MeV. Ce résultat révèle clairement que l’ionisation induit un recuit des défauts créés par les neutrons rapides.</w:t>
            </w:r>
          </w:p>
          <w:p w:rsidR="00F044EA" w:rsidRPr="00F044EA" w:rsidRDefault="00F044EA" w:rsidP="00F044EA">
            <w:pPr>
              <w:autoSpaceDE w:val="0"/>
              <w:autoSpaceDN w:val="0"/>
              <w:adjustRightInd w:val="0"/>
              <w:spacing w:after="0" w:line="240" w:lineRule="auto"/>
              <w:jc w:val="both"/>
              <w:rPr>
                <w:rFonts w:asciiTheme="majorBidi" w:eastAsiaTheme="minorHAnsi" w:hAnsiTheme="majorBidi" w:cstheme="majorBidi"/>
                <w:sz w:val="24"/>
                <w:szCs w:val="24"/>
                <w:lang w:val="en-US"/>
              </w:rPr>
            </w:pPr>
            <w:bookmarkStart w:id="0" w:name="_GoBack"/>
            <w:bookmarkEnd w:id="0"/>
          </w:p>
        </w:tc>
      </w:tr>
    </w:tbl>
    <w:p w:rsidR="00AD1C62" w:rsidRPr="00237E8C" w:rsidRDefault="00AD1C62" w:rsidP="00700498">
      <w:pPr>
        <w:jc w:val="both"/>
        <w:rPr>
          <w:sz w:val="24"/>
          <w:szCs w:val="24"/>
        </w:rPr>
      </w:pPr>
    </w:p>
    <w:p w:rsidR="00700498" w:rsidRPr="00237E8C" w:rsidRDefault="00700498">
      <w:pPr>
        <w:jc w:val="both"/>
        <w:rPr>
          <w:sz w:val="24"/>
          <w:szCs w:val="24"/>
        </w:rPr>
      </w:pPr>
    </w:p>
    <w:sectPr w:rsidR="00700498" w:rsidRPr="00237E8C" w:rsidSect="00AD1C62">
      <w:pgSz w:w="11906" w:h="16838"/>
      <w:pgMar w:top="432" w:right="1411" w:bottom="288" w:left="1411"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C62"/>
    <w:rsid w:val="0016789E"/>
    <w:rsid w:val="00237E8C"/>
    <w:rsid w:val="00413B37"/>
    <w:rsid w:val="00700498"/>
    <w:rsid w:val="008754B3"/>
    <w:rsid w:val="00AD1C62"/>
    <w:rsid w:val="00CC273F"/>
    <w:rsid w:val="00F044E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843392-1856-4E6F-AA78-D4A91848F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1C62"/>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AD1C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6243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499</Words>
  <Characters>2745</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hamza</dc:creator>
  <cp:lastModifiedBy>naima</cp:lastModifiedBy>
  <cp:revision>6</cp:revision>
  <cp:lastPrinted>2017-05-27T11:38:00Z</cp:lastPrinted>
  <dcterms:created xsi:type="dcterms:W3CDTF">2017-12-06T09:48:00Z</dcterms:created>
  <dcterms:modified xsi:type="dcterms:W3CDTF">2018-02-28T09:34:00Z</dcterms:modified>
</cp:coreProperties>
</file>