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CE9" w:rsidRPr="00421C36" w:rsidRDefault="00573CE9" w:rsidP="00573CE9">
      <w:pPr>
        <w:pStyle w:val="Default"/>
        <w:spacing w:line="360" w:lineRule="auto"/>
        <w:jc w:val="center"/>
        <w:rPr>
          <w:rFonts w:asciiTheme="majorBidi" w:hAnsiTheme="majorBidi" w:cstheme="majorBidi"/>
          <w:b/>
          <w:bCs/>
          <w:sz w:val="28"/>
          <w:szCs w:val="28"/>
        </w:rPr>
      </w:pPr>
      <w:r w:rsidRPr="00421C36">
        <w:rPr>
          <w:rFonts w:asciiTheme="majorBidi" w:hAnsiTheme="majorBidi" w:cstheme="majorBidi"/>
          <w:b/>
          <w:bCs/>
          <w:sz w:val="28"/>
          <w:szCs w:val="28"/>
        </w:rPr>
        <w:t>Résumé</w:t>
      </w:r>
    </w:p>
    <w:p w:rsidR="00421C36" w:rsidRPr="00573CE9" w:rsidRDefault="00421C36" w:rsidP="00573CE9">
      <w:pPr>
        <w:pStyle w:val="Default"/>
        <w:spacing w:line="360" w:lineRule="auto"/>
        <w:jc w:val="center"/>
        <w:rPr>
          <w:rFonts w:asciiTheme="majorBidi" w:hAnsiTheme="majorBidi" w:cstheme="majorBidi"/>
        </w:rPr>
      </w:pPr>
    </w:p>
    <w:p w:rsidR="00573CE9" w:rsidRPr="00573CE9" w:rsidRDefault="00573CE9" w:rsidP="00573CE9">
      <w:pPr>
        <w:pStyle w:val="Default"/>
        <w:spacing w:line="360" w:lineRule="auto"/>
        <w:ind w:firstLine="708"/>
        <w:jc w:val="both"/>
        <w:rPr>
          <w:rFonts w:asciiTheme="majorBidi" w:hAnsiTheme="majorBidi" w:cstheme="majorBidi"/>
        </w:rPr>
      </w:pPr>
      <w:r w:rsidRPr="00573CE9">
        <w:rPr>
          <w:rFonts w:asciiTheme="majorBidi" w:hAnsiTheme="majorBidi" w:cstheme="majorBidi"/>
        </w:rPr>
        <w:t xml:space="preserve">Les surfactants sont des composés très polyvalents largement utilisés dans l'industrie pharmaceutique et cosmétique. Ces composés sont consommés en grandes quantités chaque jour à l'échelle mondiale dans différents types de produits industriels ou domestiques. Par conséquent, la recherche de nouveaux surfactants avec une faible toxicité et une biodégradabilité élevée est une stratégie intéressante et pratique pour élargir leur gamme d'applications. Les surfactants à base d'acides aminés sont l'une des solutions pour réduire cette contamination, car ils peuvent être synthétisés à partir des produits naturels renouvelables, et ainsi, assurer leur biodégradabilité. </w:t>
      </w:r>
    </w:p>
    <w:p w:rsidR="00573CE9" w:rsidRPr="00573CE9" w:rsidRDefault="00573CE9" w:rsidP="00573CE9">
      <w:pPr>
        <w:pStyle w:val="Default"/>
        <w:spacing w:line="360" w:lineRule="auto"/>
        <w:ind w:firstLine="708"/>
        <w:jc w:val="both"/>
        <w:rPr>
          <w:rFonts w:asciiTheme="majorBidi" w:hAnsiTheme="majorBidi" w:cstheme="majorBidi"/>
        </w:rPr>
      </w:pPr>
      <w:r w:rsidRPr="00573CE9">
        <w:rPr>
          <w:rFonts w:asciiTheme="majorBidi" w:hAnsiTheme="majorBidi" w:cstheme="majorBidi"/>
        </w:rPr>
        <w:t xml:space="preserve">Dans cette </w:t>
      </w:r>
      <w:r w:rsidRPr="00573CE9">
        <w:rPr>
          <w:rFonts w:asciiTheme="majorBidi" w:hAnsiTheme="majorBidi" w:cstheme="majorBidi"/>
        </w:rPr>
        <w:t>thèse</w:t>
      </w:r>
      <w:r w:rsidRPr="00573CE9">
        <w:rPr>
          <w:rFonts w:asciiTheme="majorBidi" w:hAnsiTheme="majorBidi" w:cstheme="majorBidi"/>
        </w:rPr>
        <w:t xml:space="preserve"> une </w:t>
      </w:r>
      <w:r w:rsidRPr="00573CE9">
        <w:rPr>
          <w:rFonts w:asciiTheme="majorBidi" w:hAnsiTheme="majorBidi" w:cstheme="majorBidi"/>
        </w:rPr>
        <w:t>série</w:t>
      </w:r>
      <w:r w:rsidRPr="00573CE9">
        <w:rPr>
          <w:rFonts w:asciiTheme="majorBidi" w:hAnsiTheme="majorBidi" w:cstheme="majorBidi"/>
        </w:rPr>
        <w:t xml:space="preserve"> de surfactants anioniques à base de l’acide aminé, l’Alanine a été synthétisée nommée 2- (n-</w:t>
      </w:r>
      <w:proofErr w:type="spellStart"/>
      <w:r w:rsidRPr="00573CE9">
        <w:rPr>
          <w:rFonts w:asciiTheme="majorBidi" w:hAnsiTheme="majorBidi" w:cstheme="majorBidi"/>
        </w:rPr>
        <w:t>alkylsulfonamido</w:t>
      </w:r>
      <w:proofErr w:type="spellEnd"/>
      <w:r w:rsidRPr="00573CE9">
        <w:rPr>
          <w:rFonts w:asciiTheme="majorBidi" w:hAnsiTheme="majorBidi" w:cstheme="majorBidi"/>
        </w:rPr>
        <w:t xml:space="preserve">) </w:t>
      </w:r>
      <w:proofErr w:type="spellStart"/>
      <w:r w:rsidRPr="00573CE9">
        <w:rPr>
          <w:rFonts w:asciiTheme="majorBidi" w:hAnsiTheme="majorBidi" w:cstheme="majorBidi"/>
        </w:rPr>
        <w:t>propanoates</w:t>
      </w:r>
      <w:proofErr w:type="spellEnd"/>
      <w:r w:rsidRPr="00573CE9">
        <w:rPr>
          <w:rFonts w:asciiTheme="majorBidi" w:hAnsiTheme="majorBidi" w:cstheme="majorBidi"/>
        </w:rPr>
        <w:t xml:space="preserve"> de sodium de formule R-SO2NH-CH(CH3) COO- Na+ avec R : C12H25, C14H29, C16H33 et C18H37. Cette synthèse est dérivée en deux étapes. La première étape consiste en la préparation d’un mélange des isomères de position des chlorures d’</w:t>
      </w:r>
      <w:proofErr w:type="spellStart"/>
      <w:r w:rsidRPr="00573CE9">
        <w:rPr>
          <w:rFonts w:asciiTheme="majorBidi" w:hAnsiTheme="majorBidi" w:cstheme="majorBidi"/>
        </w:rPr>
        <w:t>alcanesulfonyles</w:t>
      </w:r>
      <w:proofErr w:type="spellEnd"/>
      <w:r w:rsidRPr="00573CE9">
        <w:rPr>
          <w:rFonts w:asciiTheme="majorBidi" w:hAnsiTheme="majorBidi" w:cstheme="majorBidi"/>
        </w:rPr>
        <w:t xml:space="preserve"> RSO2Cl par </w:t>
      </w:r>
      <w:proofErr w:type="spellStart"/>
      <w:r w:rsidRPr="00573CE9">
        <w:rPr>
          <w:rFonts w:asciiTheme="majorBidi" w:hAnsiTheme="majorBidi" w:cstheme="majorBidi"/>
        </w:rPr>
        <w:t>photochlorosulfonation</w:t>
      </w:r>
      <w:proofErr w:type="spellEnd"/>
      <w:r w:rsidRPr="00573CE9">
        <w:rPr>
          <w:rFonts w:asciiTheme="majorBidi" w:hAnsiTheme="majorBidi" w:cstheme="majorBidi"/>
        </w:rPr>
        <w:t>. La seconde étape est le greffage de l’acide aminé sur les chlorures d’</w:t>
      </w:r>
      <w:proofErr w:type="spellStart"/>
      <w:r w:rsidRPr="00573CE9">
        <w:rPr>
          <w:rFonts w:asciiTheme="majorBidi" w:hAnsiTheme="majorBidi" w:cstheme="majorBidi"/>
        </w:rPr>
        <w:t>alcanesulfonyles</w:t>
      </w:r>
      <w:proofErr w:type="spellEnd"/>
      <w:r w:rsidRPr="00573CE9">
        <w:rPr>
          <w:rFonts w:asciiTheme="majorBidi" w:hAnsiTheme="majorBidi" w:cstheme="majorBidi"/>
        </w:rPr>
        <w:t xml:space="preserve"> synthétisés. La caractérisation des surfactants a été réalisée en utilisant les méthodes spectroscopiques d’analyse, à savoir : FTIR, GC/MS-IE, RMN et UPLC/MS-ESI. </w:t>
      </w:r>
    </w:p>
    <w:p w:rsidR="00573CE9" w:rsidRPr="00573CE9" w:rsidRDefault="00573CE9" w:rsidP="00573CE9">
      <w:pPr>
        <w:pStyle w:val="Default"/>
        <w:spacing w:line="360" w:lineRule="auto"/>
        <w:jc w:val="both"/>
        <w:rPr>
          <w:rFonts w:asciiTheme="majorBidi" w:hAnsiTheme="majorBidi" w:cstheme="majorBidi"/>
        </w:rPr>
      </w:pPr>
      <w:r w:rsidRPr="00573CE9">
        <w:rPr>
          <w:rFonts w:asciiTheme="majorBidi" w:hAnsiTheme="majorBidi" w:cstheme="majorBidi"/>
        </w:rPr>
        <w:t xml:space="preserve">La deuxième partie de cette thèse est l’étude des propriétés physicochimiques des surfactants synthétisés à savoir la détermination de la concentration micellaire critique CMC par conductimétrie et par </w:t>
      </w:r>
      <w:proofErr w:type="spellStart"/>
      <w:r w:rsidRPr="00573CE9">
        <w:rPr>
          <w:rFonts w:asciiTheme="majorBidi" w:hAnsiTheme="majorBidi" w:cstheme="majorBidi"/>
        </w:rPr>
        <w:t>tensiomètrie</w:t>
      </w:r>
      <w:proofErr w:type="spellEnd"/>
      <w:r w:rsidRPr="00573CE9">
        <w:rPr>
          <w:rFonts w:asciiTheme="majorBidi" w:hAnsiTheme="majorBidi" w:cstheme="majorBidi"/>
        </w:rPr>
        <w:t xml:space="preserve">. L'excès de surface </w:t>
      </w:r>
      <w:r w:rsidRPr="00573CE9">
        <w:rPr>
          <w:rFonts w:asciiTheme="majorBidi" w:hAnsiTheme="majorBidi" w:cstheme="majorBidi"/>
        </w:rPr>
        <w:t xml:space="preserve">max et la surface minimale par molécule (Amin) ont été calculés en utilisant l'équation de Gibbs. L'étude du pouvoir moussant et la stabilité de la mousse des solutions aqueuses des surfactants à base d'Alanine à différentes concentrations ont été réalisés à 25 °C en utilisant la méthode de </w:t>
      </w:r>
      <w:proofErr w:type="spellStart"/>
      <w:r w:rsidRPr="00573CE9">
        <w:rPr>
          <w:rFonts w:asciiTheme="majorBidi" w:hAnsiTheme="majorBidi" w:cstheme="majorBidi"/>
        </w:rPr>
        <w:t>Bartsh</w:t>
      </w:r>
      <w:proofErr w:type="spellEnd"/>
      <w:r w:rsidRPr="00573CE9">
        <w:rPr>
          <w:rFonts w:asciiTheme="majorBidi" w:hAnsiTheme="majorBidi" w:cstheme="majorBidi"/>
        </w:rPr>
        <w:t xml:space="preserve">. La stabilité de la mousse a été déterminée en calculant le paramètre R5. Les valeurs de la balance hydrophile-lipophile (HLB) ont été déterminées théoriquement par la méthode de Davies. Enfin une étude de stabilité au cours du temps des émulsions de type huile dans l’eau, préparées à partir d’un mélange de décane/ eau avec une quantité de surfactants a été réalisée en utilisant un microscope optique. </w:t>
      </w:r>
    </w:p>
    <w:p w:rsidR="00145065" w:rsidRPr="00573CE9" w:rsidRDefault="00573CE9" w:rsidP="00573CE9">
      <w:pPr>
        <w:spacing w:line="360" w:lineRule="auto"/>
        <w:jc w:val="both"/>
        <w:rPr>
          <w:rFonts w:asciiTheme="majorBidi" w:hAnsiTheme="majorBidi" w:cstheme="majorBidi"/>
          <w:sz w:val="24"/>
          <w:szCs w:val="24"/>
        </w:rPr>
      </w:pPr>
      <w:r w:rsidRPr="00573CE9">
        <w:rPr>
          <w:rFonts w:asciiTheme="majorBidi" w:hAnsiTheme="majorBidi" w:cstheme="majorBidi"/>
          <w:sz w:val="24"/>
          <w:szCs w:val="24"/>
        </w:rPr>
        <w:t>L’étude de l’influence de la structure de la partie hydrophile, en particulier l’addition du groupement méthyle a été étudiée en comparant les résultats obtenus à ceux d'une série de surfactants synthétisés à base de Glycine. Les résultats obtenus montrent clairement que les surfactants à base d'Alanine possèdent de bonnes pr</w:t>
      </w:r>
      <w:bookmarkStart w:id="0" w:name="_GoBack"/>
      <w:bookmarkEnd w:id="0"/>
      <w:r w:rsidRPr="00573CE9">
        <w:rPr>
          <w:rFonts w:asciiTheme="majorBidi" w:hAnsiTheme="majorBidi" w:cstheme="majorBidi"/>
          <w:sz w:val="24"/>
          <w:szCs w:val="24"/>
        </w:rPr>
        <w:t>opriétés de surface.</w:t>
      </w:r>
    </w:p>
    <w:sectPr w:rsidR="00145065" w:rsidRPr="00573C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7AD"/>
    <w:rsid w:val="0031324F"/>
    <w:rsid w:val="00421C36"/>
    <w:rsid w:val="004A17AD"/>
    <w:rsid w:val="00573CE9"/>
    <w:rsid w:val="00F108B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5765AB-94E7-4851-99FB-580334B7F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573CE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408</Words>
  <Characters>2245</Characters>
  <Application>Microsoft Office Word</Application>
  <DocSecurity>0</DocSecurity>
  <Lines>18</Lines>
  <Paragraphs>5</Paragraphs>
  <ScaleCrop>false</ScaleCrop>
  <Company>Microsoft</Company>
  <LinksUpToDate>false</LinksUpToDate>
  <CharactersWithSpaces>2648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Mouna</dc:creator>
  <cp:keywords/>
  <dc:description/>
  <cp:lastModifiedBy>Mouna</cp:lastModifiedBy>
  <cp:revision>3</cp:revision>
  <dcterms:created xsi:type="dcterms:W3CDTF">2017-02-13T19:56:00Z</dcterms:created>
  <dcterms:modified xsi:type="dcterms:W3CDTF">2017-02-13T19:59:00Z</dcterms:modified>
</cp:coreProperties>
</file>