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15CE" w:rsidRPr="008215CE" w:rsidRDefault="008215CE" w:rsidP="008215CE">
      <w:pPr>
        <w:bidi w:val="0"/>
        <w:rPr>
          <w:lang w:val="fr-FR" w:bidi="ar-DZ"/>
        </w:rPr>
      </w:pPr>
      <w:r w:rsidRPr="008215CE">
        <w:rPr>
          <w:lang w:val="fr-FR" w:bidi="ar-DZ"/>
        </w:rPr>
        <w:t>Le travail présenté dans ce mémoire a pour but d'explorer les stratégiesde synthèse permettant l'accés à de nouveaux composés de type 3,3'-(phenylmethanediyl)bis(4-hydroxyfuran-2(5H)-one) et 2-[(1Z)-1-(2-oxodihydrofuran-3(2H)-ylidene)ethyl]hydrazinecarbothioamide, dont les analogues structuraux sont doués d'activités biologiques remarquables. Les diverses synthèses utilisent, comme synthonde départ</w:t>
      </w:r>
    </w:p>
    <w:p w:rsidR="008215CE" w:rsidRPr="008215CE" w:rsidRDefault="008215CE" w:rsidP="008215CE">
      <w:pPr>
        <w:bidi w:val="0"/>
        <w:rPr>
          <w:lang w:val="fr-FR" w:bidi="ar-DZ"/>
        </w:rPr>
      </w:pPr>
      <w:r w:rsidRPr="008215CE">
        <w:rPr>
          <w:lang w:val="fr-FR" w:bidi="ar-DZ"/>
        </w:rPr>
        <w:t>l'acide tétronique et 2-acetyl-butyrolactone. Ces deux lactones sont choisis comme produits de départ pour leur grande réactivité chimique ainsi que sur leurs intérêts thérapeutique et pharmacologique.</w:t>
      </w:r>
    </w:p>
    <w:p w:rsidR="008215CE" w:rsidRPr="008215CE" w:rsidRDefault="008215CE" w:rsidP="008215CE">
      <w:pPr>
        <w:bidi w:val="0"/>
        <w:rPr>
          <w:lang w:val="fr-FR" w:bidi="ar-DZ"/>
        </w:rPr>
      </w:pPr>
      <w:r w:rsidRPr="008215CE">
        <w:rPr>
          <w:lang w:val="fr-FR" w:bidi="ar-DZ"/>
        </w:rPr>
        <w:t>L'action de l'acide tétronique avec les aldéhydes aromatiques forment  une classe de substance très importante car nous a permis d'isoler avec de bons rendements de nouveaux composés, Ces dérivés sont obtenus par condensation de deux moles de l'acide tétronique avec une molle de l'aldehydes.</w:t>
      </w:r>
    </w:p>
    <w:p w:rsidR="008215CE" w:rsidRPr="008215CE" w:rsidRDefault="008215CE" w:rsidP="008215CE">
      <w:pPr>
        <w:bidi w:val="0"/>
        <w:rPr>
          <w:lang w:val="fr-FR" w:bidi="ar-DZ"/>
        </w:rPr>
      </w:pPr>
      <w:r w:rsidRPr="008215CE">
        <w:rPr>
          <w:lang w:val="fr-FR" w:bidi="ar-DZ"/>
        </w:rPr>
        <w:t>La réaction du groupement acétyle de2-acetyl-butyrolactoneavec les dérivés dela thiosemicarbazide, dans des conditions simples, nous a permis d'isoler des imines fonctionnalisées. Cette réaction a été effectuée en présence et en absence d'un catalyseur acide(ou de keggin).</w:t>
      </w:r>
    </w:p>
    <w:p w:rsidR="008215CE" w:rsidRPr="008215CE" w:rsidRDefault="008215CE" w:rsidP="008215CE">
      <w:pPr>
        <w:bidi w:val="0"/>
        <w:rPr>
          <w:lang w:val="fr-FR" w:bidi="ar-DZ"/>
        </w:rPr>
      </w:pPr>
      <w:r w:rsidRPr="008215CE">
        <w:rPr>
          <w:lang w:val="fr-FR" w:bidi="ar-DZ"/>
        </w:rPr>
        <w:t>L'évaluation de l'activité antimicrobienne de ces derniers produits a révélé une activité inhibitrice intéressante sur les souches bactériennes telles que Escherichia coli,Staphylococcus aureus, pseudomonas et Klebsiella(avec des zones d'inhibition comprise entre 7 et 15 mm de diamètre).</w:t>
      </w:r>
    </w:p>
    <w:p w:rsidR="008175E6" w:rsidRPr="008215CE" w:rsidRDefault="008215CE" w:rsidP="008215CE">
      <w:pPr>
        <w:bidi w:val="0"/>
        <w:rPr>
          <w:rFonts w:hint="cs"/>
          <w:lang w:val="fr-FR" w:bidi="ar-DZ"/>
        </w:rPr>
      </w:pPr>
      <w:r w:rsidRPr="008215CE">
        <w:rPr>
          <w:lang w:val="fr-FR" w:bidi="ar-DZ"/>
        </w:rPr>
        <w:t>L'ensemble des produits synthétisés ont été soumis à une analyse spectroscopique complète (IR, RMN1H, RMN13C et spectrométrie de masse).</w:t>
      </w:r>
    </w:p>
    <w:sectPr w:rsidR="008175E6" w:rsidRPr="008215C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215CE"/>
    <w:rsid w:val="005F47AF"/>
    <w:rsid w:val="008175E6"/>
    <w:rsid w:val="008215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75E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238</Words>
  <Characters>1359</Characters>
  <Application>Microsoft Office Word</Application>
  <DocSecurity>0</DocSecurity>
  <Lines>11</Lines>
  <Paragraphs>3</Paragraphs>
  <ScaleCrop>false</ScaleCrop>
  <Company/>
  <LinksUpToDate>false</LinksUpToDate>
  <CharactersWithSpaces>1594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2015-11-04T07:18:00Z</dcterms:created>
  <dcterms:modified xsi:type="dcterms:W3CDTF">2015-11-04T07:18:00Z</dcterms:modified>
</cp:coreProperties>
</file>