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272A" w:rsidRPr="00CE272A" w:rsidRDefault="00CE272A" w:rsidP="00CE272A">
      <w:pPr>
        <w:bidi w:val="0"/>
        <w:rPr>
          <w:lang w:val="fr-FR" w:bidi="ar-DZ"/>
        </w:rPr>
      </w:pPr>
      <w:r w:rsidRPr="00CE272A">
        <w:rPr>
          <w:lang w:val="fr-FR" w:bidi="ar-DZ"/>
        </w:rPr>
        <w:t>Nous avons commencé ce travail, par l'étude de la réactivité de la 2-amino benzimidazole sur la triacétique lactone par les deux méthodes de calcul. Nous avons recherché les structures les plus stables pour  chacun de ces réactifs, après optimisation totale de leurs géométries. Nous  avons calculé  l'écart énergétique entre les orbitales frontières des réactifs  pour  déterminer la nature de la  réaction étudiée.  Cette  recherche</w:t>
      </w:r>
    </w:p>
    <w:p w:rsidR="00CE272A" w:rsidRPr="00CE272A" w:rsidRDefault="00CE272A" w:rsidP="00CE272A">
      <w:pPr>
        <w:bidi w:val="0"/>
        <w:rPr>
          <w:lang w:val="fr-FR" w:bidi="ar-DZ"/>
        </w:rPr>
      </w:pPr>
      <w:r w:rsidRPr="00CE272A">
        <w:rPr>
          <w:lang w:val="fr-FR" w:bidi="ar-DZ"/>
        </w:rPr>
        <w:t xml:space="preserve">a  été  complétée par l'utilisation  des indices de réactivité dérivant de la DFT, à  savoir  le potentiel chimique électronique, l'électrophilicité, la dureté  et la mollesse chimique. L'analyse des charges et des  orbitales frontières (OF) a permis de  connaître les sites d'attaques électrophile  et nucléophile les plus favorables. Après cette investigation, nous avons procédé à l'étude de la réaction chimique envisagée pour localiser l'état initial de  la  réaction, lequel a été  confirmé par le calcul de fréquence. Les  différents paramètres géométriques (distance, angles) de chaque état de la réaction (initial, transition, intermédiaires)  ont été déterminés par la suite. </w:t>
      </w:r>
    </w:p>
    <w:p w:rsidR="00CE272A" w:rsidRPr="00CE272A" w:rsidRDefault="00CE272A" w:rsidP="00CE272A">
      <w:pPr>
        <w:bidi w:val="0"/>
        <w:rPr>
          <w:lang w:val="fr-FR" w:bidi="ar-DZ"/>
        </w:rPr>
      </w:pPr>
      <w:r w:rsidRPr="00CE272A">
        <w:rPr>
          <w:lang w:val="fr-FR" w:bidi="ar-DZ"/>
        </w:rPr>
        <w:t xml:space="preserve">L'existence de  tautomères  qui peuvent constituer des intermédiaires réactionnels de  cette réaction,  nous a poussé à l'étude des équilibres tautomères  possibles. Dans un premier temps, nous avons établi la stabilité de chaque forme tautomère,  et confirmé ces conclusions en  déterminant les constantes d'équilibres et les fractions molaires associées aux différents équilibres. Les résultats obtenus, nous ont conduit à poursuivre une étude concurrencée de la réaction étudiée, en utilisant deux voies à partir des deux tautomères les plus stables, pour arriver à  la même série des pyrimidines. Nous avons tracé dans chaque cas, un profil énergétique et nous avons complété cette étude  en déterminant les grandeurs caractéristiques (enthalpie, énergie d'activation…) des deux réactions en les suivant étape par étape, en vue d'en effectuer une étude comparative. </w:t>
      </w:r>
    </w:p>
    <w:p w:rsidR="00CE272A" w:rsidRPr="00CE272A" w:rsidRDefault="00CE272A" w:rsidP="00CE272A">
      <w:pPr>
        <w:bidi w:val="0"/>
        <w:rPr>
          <w:lang w:val="fr-FR" w:bidi="ar-DZ"/>
        </w:rPr>
      </w:pPr>
      <w:r w:rsidRPr="00CE272A">
        <w:rPr>
          <w:lang w:val="fr-FR" w:bidi="ar-DZ"/>
        </w:rPr>
        <w:t>Les résultats obtenus sont comparés avec les données expérimentales disponibles.</w:t>
      </w:r>
    </w:p>
    <w:p w:rsidR="00CD53E1" w:rsidRPr="00CE272A" w:rsidRDefault="00CE272A" w:rsidP="00CE272A">
      <w:pPr>
        <w:bidi w:val="0"/>
        <w:rPr>
          <w:rFonts w:hint="cs"/>
          <w:lang w:val="fr-FR" w:bidi="ar-DZ"/>
        </w:rPr>
      </w:pPr>
      <w:r w:rsidRPr="00CE272A">
        <w:rPr>
          <w:lang w:val="fr-FR" w:bidi="ar-DZ"/>
        </w:rPr>
        <w:t xml:space="preserve">                                                                         </w:t>
      </w:r>
    </w:p>
    <w:sectPr w:rsidR="00CD53E1" w:rsidRPr="00CE272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E272A"/>
    <w:rsid w:val="005F47AF"/>
    <w:rsid w:val="00CD53E1"/>
    <w:rsid w:val="00CE272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3E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1828</Characters>
  <Application>Microsoft Office Word</Application>
  <DocSecurity>0</DocSecurity>
  <Lines>15</Lines>
  <Paragraphs>4</Paragraphs>
  <ScaleCrop>false</ScaleCrop>
  <Company/>
  <LinksUpToDate>false</LinksUpToDate>
  <CharactersWithSpaces>2144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2015-10-29T07:33:00Z</dcterms:created>
  <dcterms:modified xsi:type="dcterms:W3CDTF">2015-10-29T07:33:00Z</dcterms:modified>
</cp:coreProperties>
</file>