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32D8" w:rsidRDefault="00C532D8" w:rsidP="00C532D8">
      <w:pPr>
        <w:jc w:val="both"/>
        <w:rPr>
          <w:rFonts w:asciiTheme="majorBidi" w:hAnsiTheme="majorBidi" w:cstheme="majorBidi"/>
          <w:b/>
          <w:bCs/>
          <w:sz w:val="24"/>
          <w:szCs w:val="24"/>
        </w:rPr>
      </w:pPr>
      <w:r>
        <w:rPr>
          <w:rFonts w:asciiTheme="majorBidi" w:hAnsiTheme="majorBidi" w:cstheme="majorBidi"/>
          <w:sz w:val="24"/>
          <w:szCs w:val="24"/>
        </w:rPr>
        <w:t xml:space="preserve">Le diabète de type 2 fait partie des problèmes majeurs de santé publique  non seulement par les différentes comorbidités qu’il associe mais aussi par son incidence progressive à travers le monde. L’hypoandrogénie chez l’homme diabétique de type 2 constitue l’une des atteintes qui  influence l’état de santé général de l’homme, notamment le risque élevé des maladies cardiovasculaires.  </w:t>
      </w:r>
    </w:p>
    <w:p w:rsidR="00C532D8" w:rsidRDefault="00C532D8" w:rsidP="00C532D8">
      <w:pPr>
        <w:jc w:val="both"/>
        <w:rPr>
          <w:rFonts w:asciiTheme="majorBidi" w:hAnsiTheme="majorBidi" w:cstheme="majorBidi"/>
          <w:sz w:val="24"/>
          <w:szCs w:val="24"/>
        </w:rPr>
      </w:pPr>
      <w:r>
        <w:rPr>
          <w:rFonts w:asciiTheme="majorBidi" w:hAnsiTheme="majorBidi" w:cstheme="majorBidi"/>
          <w:sz w:val="24"/>
          <w:szCs w:val="24"/>
        </w:rPr>
        <w:t>A cet effet</w:t>
      </w:r>
      <w:r w:rsidRPr="009D7005">
        <w:rPr>
          <w:rFonts w:asciiTheme="majorBidi" w:hAnsiTheme="majorBidi" w:cstheme="majorBidi"/>
          <w:sz w:val="24"/>
          <w:szCs w:val="24"/>
        </w:rPr>
        <w:t>, nous</w:t>
      </w:r>
      <w:r>
        <w:rPr>
          <w:rFonts w:asciiTheme="majorBidi" w:hAnsiTheme="majorBidi" w:cstheme="majorBidi"/>
          <w:sz w:val="24"/>
          <w:szCs w:val="24"/>
        </w:rPr>
        <w:t xml:space="preserve"> avons évalué la prévalence de l’hypogonadisme au sein d’une  population  de 120 hommes diabétiques de type 2 et nous avons établit les liens existant entre les deux fractions de la testostérone  et les marqueurs conventionnels du syndrome métabolique et/ou de  diabète de type 2. Nous avons étudié</w:t>
      </w:r>
      <w:r w:rsidRPr="0050423C">
        <w:rPr>
          <w:rFonts w:asciiTheme="majorBidi" w:hAnsiTheme="majorBidi" w:cstheme="majorBidi"/>
          <w:sz w:val="24"/>
          <w:szCs w:val="24"/>
        </w:rPr>
        <w:t xml:space="preserve"> </w:t>
      </w:r>
      <w:r>
        <w:rPr>
          <w:rFonts w:asciiTheme="majorBidi" w:hAnsiTheme="majorBidi" w:cstheme="majorBidi"/>
          <w:sz w:val="24"/>
          <w:szCs w:val="24"/>
        </w:rPr>
        <w:t>également au cours de cette étude la relation entre la protéine  de liaison des androgènes SHBG (prise comme facteur indépendant)  et les différents composants de syndrome métabolique.</w:t>
      </w:r>
    </w:p>
    <w:p w:rsidR="00C532D8" w:rsidRDefault="00C532D8" w:rsidP="00C532D8">
      <w:pPr>
        <w:jc w:val="both"/>
        <w:rPr>
          <w:rFonts w:asciiTheme="majorBidi" w:hAnsiTheme="majorBidi" w:cstheme="majorBidi"/>
          <w:bCs/>
          <w:sz w:val="24"/>
          <w:szCs w:val="24"/>
        </w:rPr>
      </w:pPr>
      <w:r>
        <w:rPr>
          <w:rFonts w:asciiTheme="majorBidi" w:hAnsiTheme="majorBidi" w:cstheme="majorBidi"/>
          <w:sz w:val="24"/>
          <w:szCs w:val="24"/>
        </w:rPr>
        <w:t>Sur une période de 9 mois à l’hôpital central de l’armée  de Ain-Naadja, nous avons recruté 120 patients</w:t>
      </w:r>
      <w:r w:rsidRPr="00C94343">
        <w:rPr>
          <w:rFonts w:asciiTheme="majorBidi" w:hAnsiTheme="majorBidi" w:cstheme="majorBidi"/>
          <w:sz w:val="24"/>
          <w:szCs w:val="24"/>
        </w:rPr>
        <w:t xml:space="preserve"> diabétiques de type 2 </w:t>
      </w:r>
      <w:r>
        <w:rPr>
          <w:rFonts w:asciiTheme="majorBidi" w:hAnsiTheme="majorBidi" w:cstheme="majorBidi"/>
          <w:sz w:val="24"/>
          <w:szCs w:val="24"/>
        </w:rPr>
        <w:t xml:space="preserve">âgés entre 40 à 80 ans. Le contexte clinique de l’étude porte sur  les mesures anthropométriques (IMC et tour de taille), l’évaluation de la tension artérielle et la recherche des symptômes relatifs à un déficit en testostérone. Le contexte biologique concerne: La détermination des paramètres  biochimiques </w:t>
      </w:r>
      <w:r>
        <w:rPr>
          <w:rFonts w:asciiTheme="majorBidi" w:hAnsiTheme="majorBidi" w:cstheme="majorBidi"/>
          <w:bCs/>
          <w:sz w:val="24"/>
          <w:szCs w:val="24"/>
        </w:rPr>
        <w:t xml:space="preserve"> (glycémie à jeun, cholestérol total, LDL-cholestérol, HDL-cholestérol et les triglycérides), la CRP ultra sensible et l’HbA1c  par immunoturbidimétrie, de la testostérone et la SHBG</w:t>
      </w:r>
      <w:r w:rsidRPr="00AE5793">
        <w:rPr>
          <w:rFonts w:asciiTheme="majorBidi" w:hAnsiTheme="majorBidi" w:cstheme="majorBidi"/>
          <w:bCs/>
          <w:sz w:val="24"/>
          <w:szCs w:val="24"/>
        </w:rPr>
        <w:t xml:space="preserve"> </w:t>
      </w:r>
      <w:r>
        <w:rPr>
          <w:rFonts w:asciiTheme="majorBidi" w:hAnsiTheme="majorBidi" w:cstheme="majorBidi"/>
          <w:bCs/>
          <w:sz w:val="24"/>
          <w:szCs w:val="24"/>
        </w:rPr>
        <w:t>par radioimmunologie, la FSH et la LH par immunofluorescence.</w:t>
      </w:r>
    </w:p>
    <w:p w:rsidR="00C532D8" w:rsidRDefault="00C532D8" w:rsidP="00C532D8">
      <w:pPr>
        <w:jc w:val="both"/>
        <w:rPr>
          <w:rFonts w:asciiTheme="majorBidi" w:hAnsiTheme="majorBidi" w:cstheme="majorBidi"/>
          <w:b/>
          <w:bCs/>
          <w:sz w:val="24"/>
          <w:szCs w:val="24"/>
        </w:rPr>
      </w:pPr>
      <w:r>
        <w:rPr>
          <w:rFonts w:asciiTheme="majorBidi" w:hAnsiTheme="majorBidi" w:cstheme="majorBidi"/>
          <w:bCs/>
          <w:sz w:val="24"/>
          <w:szCs w:val="24"/>
        </w:rPr>
        <w:t xml:space="preserve"> </w:t>
      </w:r>
      <w:r>
        <w:rPr>
          <w:rFonts w:asciiTheme="majorBidi" w:hAnsiTheme="majorBidi" w:cstheme="majorBidi"/>
          <w:sz w:val="24"/>
          <w:szCs w:val="24"/>
        </w:rPr>
        <w:t xml:space="preserve">Sur notre population </w:t>
      </w:r>
      <w:r w:rsidRPr="00686A3D">
        <w:rPr>
          <w:rFonts w:asciiTheme="majorBidi" w:hAnsiTheme="majorBidi" w:cstheme="majorBidi"/>
          <w:sz w:val="24"/>
          <w:szCs w:val="24"/>
        </w:rPr>
        <w:t>de 120 hommes diabétiques</w:t>
      </w:r>
      <w:r>
        <w:rPr>
          <w:rFonts w:asciiTheme="majorBidi" w:hAnsiTheme="majorBidi" w:cstheme="majorBidi"/>
          <w:sz w:val="24"/>
          <w:szCs w:val="24"/>
        </w:rPr>
        <w:t xml:space="preserve"> de type 2</w:t>
      </w:r>
      <w:r w:rsidRPr="00686A3D">
        <w:rPr>
          <w:rFonts w:asciiTheme="majorBidi" w:hAnsiTheme="majorBidi" w:cstheme="majorBidi"/>
          <w:sz w:val="24"/>
          <w:szCs w:val="24"/>
        </w:rPr>
        <w:t>,</w:t>
      </w:r>
      <w:r>
        <w:rPr>
          <w:rFonts w:asciiTheme="majorBidi" w:hAnsiTheme="majorBidi" w:cstheme="majorBidi"/>
          <w:sz w:val="24"/>
          <w:szCs w:val="24"/>
        </w:rPr>
        <w:t xml:space="preserve"> </w:t>
      </w:r>
      <w:r w:rsidRPr="00686A3D">
        <w:rPr>
          <w:rFonts w:asciiTheme="majorBidi" w:hAnsiTheme="majorBidi" w:cstheme="majorBidi"/>
          <w:sz w:val="24"/>
          <w:szCs w:val="24"/>
        </w:rPr>
        <w:t xml:space="preserve"> 31.66</w:t>
      </w:r>
      <w:r>
        <w:rPr>
          <w:rFonts w:asciiTheme="majorBidi" w:hAnsiTheme="majorBidi" w:cstheme="majorBidi"/>
          <w:sz w:val="24"/>
          <w:szCs w:val="24"/>
        </w:rPr>
        <w:t xml:space="preserve"> </w:t>
      </w:r>
      <w:r w:rsidRPr="00686A3D">
        <w:rPr>
          <w:rFonts w:asciiTheme="majorBidi" w:hAnsiTheme="majorBidi" w:cstheme="majorBidi"/>
          <w:sz w:val="24"/>
          <w:szCs w:val="24"/>
        </w:rPr>
        <w:t>%</w:t>
      </w:r>
      <w:r>
        <w:rPr>
          <w:rFonts w:asciiTheme="majorBidi" w:hAnsiTheme="majorBidi" w:cstheme="majorBidi"/>
          <w:sz w:val="24"/>
          <w:szCs w:val="24"/>
        </w:rPr>
        <w:t xml:space="preserve"> des patients</w:t>
      </w:r>
      <w:r w:rsidRPr="00686A3D">
        <w:rPr>
          <w:rFonts w:asciiTheme="majorBidi" w:hAnsiTheme="majorBidi" w:cstheme="majorBidi"/>
          <w:sz w:val="24"/>
          <w:szCs w:val="24"/>
        </w:rPr>
        <w:t xml:space="preserve"> </w:t>
      </w:r>
      <w:r>
        <w:rPr>
          <w:rFonts w:asciiTheme="majorBidi" w:hAnsiTheme="majorBidi" w:cstheme="majorBidi"/>
          <w:sz w:val="24"/>
          <w:szCs w:val="24"/>
        </w:rPr>
        <w:t>sont</w:t>
      </w:r>
      <w:r w:rsidRPr="00686A3D">
        <w:rPr>
          <w:rFonts w:asciiTheme="majorBidi" w:hAnsiTheme="majorBidi" w:cstheme="majorBidi"/>
          <w:sz w:val="24"/>
          <w:szCs w:val="24"/>
        </w:rPr>
        <w:t xml:space="preserve"> hypogonadiques</w:t>
      </w:r>
      <w:r>
        <w:rPr>
          <w:rFonts w:asciiTheme="majorBidi" w:hAnsiTheme="majorBidi" w:cstheme="majorBidi"/>
          <w:sz w:val="24"/>
          <w:szCs w:val="24"/>
        </w:rPr>
        <w:t xml:space="preserve"> «par rapport à la testostérone totale et/ou libre ». Ces patients présentent une testostérone totale inversement corrélée aux  paramètres anthropométriques et lipidiques. Elle est aussi accompagnée d’une élévation  de la CRP us (indicateur de l’état proinflammatoire) et d’une hypertension artérielle dans ses formes les plus graves (modérée et sévère). En revanche, la fraction libre de la testostérone est faiblement associée à ces paramètres. Les taux bas de la SHBG sont associés à une obésité viscérale (BMI&gt;30 et tour de taille &gt; 102) et inversement corrélés à la glycémie à jeun. Par ailleurs, les taux élevés de la SHBG sont négativement corrélés aux  marqueurs du métabolisme lipidique et à l’état proinflammatoire. </w:t>
      </w:r>
    </w:p>
    <w:p w:rsidR="00C532D8" w:rsidRDefault="00C532D8" w:rsidP="00C532D8">
      <w:pPr>
        <w:jc w:val="both"/>
        <w:rPr>
          <w:rFonts w:asciiTheme="majorBidi" w:hAnsiTheme="majorBidi" w:cstheme="majorBidi"/>
          <w:sz w:val="24"/>
          <w:szCs w:val="24"/>
        </w:rPr>
      </w:pPr>
      <w:r>
        <w:rPr>
          <w:rFonts w:asciiTheme="majorBidi" w:hAnsiTheme="majorBidi" w:cstheme="majorBidi"/>
          <w:sz w:val="24"/>
          <w:szCs w:val="24"/>
        </w:rPr>
        <w:t xml:space="preserve">Il ressort de cette étude  que le déficit en testostérone est fréquent chez les hommes diabétiques de type 2 et que  </w:t>
      </w:r>
      <w:r w:rsidRPr="00E81207">
        <w:rPr>
          <w:rFonts w:asciiTheme="majorBidi" w:hAnsiTheme="majorBidi" w:cstheme="majorBidi"/>
          <w:sz w:val="24"/>
          <w:szCs w:val="24"/>
        </w:rPr>
        <w:t>la baisse des taux plasmatique</w:t>
      </w:r>
      <w:r>
        <w:rPr>
          <w:rFonts w:asciiTheme="majorBidi" w:hAnsiTheme="majorBidi" w:cstheme="majorBidi"/>
          <w:sz w:val="24"/>
          <w:szCs w:val="24"/>
        </w:rPr>
        <w:t>s de la</w:t>
      </w:r>
      <w:r w:rsidRPr="00E81207">
        <w:rPr>
          <w:rFonts w:asciiTheme="majorBidi" w:hAnsiTheme="majorBidi" w:cstheme="majorBidi"/>
          <w:sz w:val="24"/>
          <w:szCs w:val="24"/>
        </w:rPr>
        <w:t xml:space="preserve"> testostérone</w:t>
      </w:r>
      <w:r>
        <w:rPr>
          <w:rFonts w:asciiTheme="majorBidi" w:hAnsiTheme="majorBidi" w:cstheme="majorBidi"/>
          <w:sz w:val="24"/>
          <w:szCs w:val="24"/>
        </w:rPr>
        <w:t xml:space="preserve"> totale  ainsi que sa protéine porteuse</w:t>
      </w:r>
      <w:r w:rsidRPr="00E81207">
        <w:rPr>
          <w:rFonts w:asciiTheme="majorBidi" w:hAnsiTheme="majorBidi" w:cstheme="majorBidi"/>
          <w:sz w:val="24"/>
          <w:szCs w:val="24"/>
        </w:rPr>
        <w:t xml:space="preserve"> </w:t>
      </w:r>
      <w:r>
        <w:rPr>
          <w:rFonts w:asciiTheme="majorBidi" w:hAnsiTheme="majorBidi" w:cstheme="majorBidi"/>
          <w:sz w:val="24"/>
          <w:szCs w:val="24"/>
        </w:rPr>
        <w:t>(</w:t>
      </w:r>
      <w:r w:rsidRPr="00E81207">
        <w:rPr>
          <w:rFonts w:asciiTheme="majorBidi" w:hAnsiTheme="majorBidi" w:cstheme="majorBidi"/>
          <w:sz w:val="24"/>
          <w:szCs w:val="24"/>
        </w:rPr>
        <w:t>SHBG</w:t>
      </w:r>
      <w:r>
        <w:rPr>
          <w:rFonts w:asciiTheme="majorBidi" w:hAnsiTheme="majorBidi" w:cstheme="majorBidi"/>
          <w:sz w:val="24"/>
          <w:szCs w:val="24"/>
        </w:rPr>
        <w:t>) chez ces patients</w:t>
      </w:r>
      <w:r w:rsidRPr="002A3AC9">
        <w:rPr>
          <w:rFonts w:asciiTheme="majorBidi" w:hAnsiTheme="majorBidi" w:cstheme="majorBidi"/>
          <w:sz w:val="24"/>
          <w:szCs w:val="24"/>
        </w:rPr>
        <w:t xml:space="preserve"> </w:t>
      </w:r>
      <w:r>
        <w:rPr>
          <w:rFonts w:asciiTheme="majorBidi" w:hAnsiTheme="majorBidi" w:cstheme="majorBidi"/>
          <w:sz w:val="24"/>
          <w:szCs w:val="24"/>
        </w:rPr>
        <w:t xml:space="preserve"> </w:t>
      </w:r>
      <w:r w:rsidRPr="002A3AC9">
        <w:rPr>
          <w:rFonts w:asciiTheme="majorBidi" w:hAnsiTheme="majorBidi" w:cstheme="majorBidi"/>
          <w:sz w:val="24"/>
          <w:szCs w:val="24"/>
        </w:rPr>
        <w:t xml:space="preserve">s’accompagne </w:t>
      </w:r>
      <w:r>
        <w:rPr>
          <w:rFonts w:asciiTheme="majorBidi" w:hAnsiTheme="majorBidi" w:cstheme="majorBidi"/>
          <w:sz w:val="24"/>
          <w:szCs w:val="24"/>
        </w:rPr>
        <w:t xml:space="preserve">d’une </w:t>
      </w:r>
      <w:r w:rsidRPr="002A3AC9">
        <w:rPr>
          <w:rFonts w:asciiTheme="majorBidi" w:hAnsiTheme="majorBidi" w:cstheme="majorBidi"/>
          <w:sz w:val="24"/>
          <w:szCs w:val="24"/>
        </w:rPr>
        <w:t>amplification de risque</w:t>
      </w:r>
      <w:r>
        <w:rPr>
          <w:rFonts w:asciiTheme="majorBidi" w:hAnsiTheme="majorBidi" w:cstheme="majorBidi"/>
          <w:sz w:val="24"/>
          <w:szCs w:val="24"/>
        </w:rPr>
        <w:t xml:space="preserve"> de maladies</w:t>
      </w:r>
      <w:r w:rsidRPr="002A3AC9">
        <w:rPr>
          <w:rFonts w:asciiTheme="majorBidi" w:hAnsiTheme="majorBidi" w:cstheme="majorBidi"/>
          <w:sz w:val="24"/>
          <w:szCs w:val="24"/>
        </w:rPr>
        <w:t xml:space="preserve"> cardiovasculaire</w:t>
      </w:r>
      <w:r>
        <w:rPr>
          <w:rFonts w:asciiTheme="majorBidi" w:hAnsiTheme="majorBidi" w:cstheme="majorBidi"/>
          <w:sz w:val="24"/>
          <w:szCs w:val="24"/>
        </w:rPr>
        <w:t>s.</w:t>
      </w:r>
    </w:p>
    <w:p w:rsidR="00C532D8" w:rsidRDefault="00C532D8" w:rsidP="00C532D8">
      <w:pPr>
        <w:jc w:val="both"/>
        <w:rPr>
          <w:rFonts w:asciiTheme="majorBidi" w:hAnsiTheme="majorBidi" w:cstheme="majorBidi"/>
          <w:sz w:val="24"/>
          <w:szCs w:val="24"/>
        </w:rPr>
      </w:pPr>
      <w:r>
        <w:rPr>
          <w:rFonts w:asciiTheme="majorBidi" w:hAnsiTheme="majorBidi" w:cstheme="majorBidi"/>
          <w:b/>
          <w:bCs/>
          <w:sz w:val="24"/>
          <w:szCs w:val="24"/>
        </w:rPr>
        <w:t xml:space="preserve">Mots clés : </w:t>
      </w:r>
      <w:r w:rsidRPr="002A51A3">
        <w:rPr>
          <w:rFonts w:asciiTheme="majorBidi" w:hAnsiTheme="majorBidi" w:cstheme="majorBidi"/>
          <w:sz w:val="24"/>
          <w:szCs w:val="24"/>
        </w:rPr>
        <w:t>diabète de type 2,</w:t>
      </w:r>
      <w:r>
        <w:rPr>
          <w:rFonts w:asciiTheme="majorBidi" w:hAnsiTheme="majorBidi" w:cstheme="majorBidi"/>
          <w:sz w:val="24"/>
          <w:szCs w:val="24"/>
        </w:rPr>
        <w:t xml:space="preserve">  </w:t>
      </w:r>
      <w:r w:rsidRPr="002A51A3">
        <w:rPr>
          <w:rFonts w:asciiTheme="majorBidi" w:hAnsiTheme="majorBidi" w:cstheme="majorBidi"/>
          <w:sz w:val="24"/>
          <w:szCs w:val="24"/>
        </w:rPr>
        <w:t>testostérone</w:t>
      </w:r>
      <w:r>
        <w:rPr>
          <w:rFonts w:asciiTheme="majorBidi" w:hAnsiTheme="majorBidi" w:cstheme="majorBidi"/>
          <w:sz w:val="24"/>
          <w:szCs w:val="24"/>
        </w:rPr>
        <w:t xml:space="preserve"> totale</w:t>
      </w:r>
      <w:r w:rsidRPr="002A51A3">
        <w:rPr>
          <w:rFonts w:asciiTheme="majorBidi" w:hAnsiTheme="majorBidi" w:cstheme="majorBidi"/>
          <w:sz w:val="24"/>
          <w:szCs w:val="24"/>
        </w:rPr>
        <w:t>,</w:t>
      </w:r>
      <w:r>
        <w:rPr>
          <w:rFonts w:asciiTheme="majorBidi" w:hAnsiTheme="majorBidi" w:cstheme="majorBidi"/>
          <w:sz w:val="24"/>
          <w:szCs w:val="24"/>
        </w:rPr>
        <w:t xml:space="preserve"> testostérone libre,</w:t>
      </w:r>
      <w:r w:rsidRPr="002A51A3">
        <w:rPr>
          <w:rFonts w:asciiTheme="majorBidi" w:hAnsiTheme="majorBidi" w:cstheme="majorBidi"/>
          <w:sz w:val="24"/>
          <w:szCs w:val="24"/>
        </w:rPr>
        <w:t xml:space="preserve"> </w:t>
      </w:r>
      <w:r>
        <w:rPr>
          <w:rFonts w:asciiTheme="majorBidi" w:hAnsiTheme="majorBidi" w:cstheme="majorBidi"/>
          <w:sz w:val="24"/>
          <w:szCs w:val="24"/>
        </w:rPr>
        <w:t>SHBG, syndrome métabolique, dyslipidémie, hypertension artérielle, état proinflammatoire, risque cardiovasculaire.</w:t>
      </w:r>
    </w:p>
    <w:p w:rsidR="00AA54E8" w:rsidRDefault="00AA54E8"/>
    <w:sectPr w:rsidR="00AA54E8" w:rsidSect="00AA54E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1"/>
  <w:proofState w:spelling="clean" w:grammar="clean"/>
  <w:defaultTabStop w:val="708"/>
  <w:hyphenationZone w:val="425"/>
  <w:characterSpacingControl w:val="doNotCompress"/>
  <w:compat/>
  <w:rsids>
    <w:rsidRoot w:val="00C532D8"/>
    <w:rsid w:val="00003866"/>
    <w:rsid w:val="00004EB6"/>
    <w:rsid w:val="00006AA9"/>
    <w:rsid w:val="00011BCD"/>
    <w:rsid w:val="00011CB8"/>
    <w:rsid w:val="00014821"/>
    <w:rsid w:val="00021156"/>
    <w:rsid w:val="00021443"/>
    <w:rsid w:val="00022C57"/>
    <w:rsid w:val="00022EE6"/>
    <w:rsid w:val="000252FF"/>
    <w:rsid w:val="0002604E"/>
    <w:rsid w:val="00030124"/>
    <w:rsid w:val="00032379"/>
    <w:rsid w:val="000355FB"/>
    <w:rsid w:val="000367F5"/>
    <w:rsid w:val="00043611"/>
    <w:rsid w:val="00046EC7"/>
    <w:rsid w:val="0004733C"/>
    <w:rsid w:val="000476DA"/>
    <w:rsid w:val="00050B15"/>
    <w:rsid w:val="00050DDA"/>
    <w:rsid w:val="00052CDF"/>
    <w:rsid w:val="000548E7"/>
    <w:rsid w:val="00054A6B"/>
    <w:rsid w:val="00060382"/>
    <w:rsid w:val="0006343E"/>
    <w:rsid w:val="00065A5E"/>
    <w:rsid w:val="00065FAE"/>
    <w:rsid w:val="00066D2F"/>
    <w:rsid w:val="0007073A"/>
    <w:rsid w:val="00070DE8"/>
    <w:rsid w:val="00071B13"/>
    <w:rsid w:val="00073AE9"/>
    <w:rsid w:val="00075C41"/>
    <w:rsid w:val="00077972"/>
    <w:rsid w:val="000835E9"/>
    <w:rsid w:val="00083B81"/>
    <w:rsid w:val="000860D9"/>
    <w:rsid w:val="00086A70"/>
    <w:rsid w:val="00091815"/>
    <w:rsid w:val="00092B52"/>
    <w:rsid w:val="00096524"/>
    <w:rsid w:val="0009686B"/>
    <w:rsid w:val="00096E47"/>
    <w:rsid w:val="00097913"/>
    <w:rsid w:val="000A2479"/>
    <w:rsid w:val="000A2BC0"/>
    <w:rsid w:val="000A37D1"/>
    <w:rsid w:val="000A5098"/>
    <w:rsid w:val="000A7225"/>
    <w:rsid w:val="000B2DB6"/>
    <w:rsid w:val="000B647F"/>
    <w:rsid w:val="000B6A80"/>
    <w:rsid w:val="000B77EA"/>
    <w:rsid w:val="000C2D36"/>
    <w:rsid w:val="000C3DA0"/>
    <w:rsid w:val="000C6951"/>
    <w:rsid w:val="000D14A6"/>
    <w:rsid w:val="000D46A7"/>
    <w:rsid w:val="000D5C64"/>
    <w:rsid w:val="000D7114"/>
    <w:rsid w:val="000D7BE3"/>
    <w:rsid w:val="000E6B51"/>
    <w:rsid w:val="000F1C70"/>
    <w:rsid w:val="000F1DD5"/>
    <w:rsid w:val="000F2F15"/>
    <w:rsid w:val="000F5818"/>
    <w:rsid w:val="000F6911"/>
    <w:rsid w:val="0010030F"/>
    <w:rsid w:val="001030E3"/>
    <w:rsid w:val="00105ADE"/>
    <w:rsid w:val="00106DDB"/>
    <w:rsid w:val="00107934"/>
    <w:rsid w:val="00110F15"/>
    <w:rsid w:val="0012056C"/>
    <w:rsid w:val="00122B4A"/>
    <w:rsid w:val="00122F17"/>
    <w:rsid w:val="00123D38"/>
    <w:rsid w:val="001252B3"/>
    <w:rsid w:val="001258FA"/>
    <w:rsid w:val="00127A4A"/>
    <w:rsid w:val="00127C26"/>
    <w:rsid w:val="001310CA"/>
    <w:rsid w:val="00133DFA"/>
    <w:rsid w:val="001343D7"/>
    <w:rsid w:val="00143358"/>
    <w:rsid w:val="00143DDD"/>
    <w:rsid w:val="00143FF0"/>
    <w:rsid w:val="00150A96"/>
    <w:rsid w:val="001512CC"/>
    <w:rsid w:val="00152CDA"/>
    <w:rsid w:val="00155464"/>
    <w:rsid w:val="00155BA1"/>
    <w:rsid w:val="00162959"/>
    <w:rsid w:val="00164C8D"/>
    <w:rsid w:val="00164CE0"/>
    <w:rsid w:val="0016594B"/>
    <w:rsid w:val="0016681B"/>
    <w:rsid w:val="00167C99"/>
    <w:rsid w:val="0017032F"/>
    <w:rsid w:val="00171177"/>
    <w:rsid w:val="00171FD2"/>
    <w:rsid w:val="00172340"/>
    <w:rsid w:val="00173A2D"/>
    <w:rsid w:val="00176261"/>
    <w:rsid w:val="0018026B"/>
    <w:rsid w:val="00180D89"/>
    <w:rsid w:val="0018267A"/>
    <w:rsid w:val="001845AD"/>
    <w:rsid w:val="00185899"/>
    <w:rsid w:val="00185C30"/>
    <w:rsid w:val="00190536"/>
    <w:rsid w:val="00191BF5"/>
    <w:rsid w:val="00192C90"/>
    <w:rsid w:val="001A120F"/>
    <w:rsid w:val="001A75D0"/>
    <w:rsid w:val="001B2818"/>
    <w:rsid w:val="001B5D9E"/>
    <w:rsid w:val="001B62DE"/>
    <w:rsid w:val="001B6A9E"/>
    <w:rsid w:val="001C1467"/>
    <w:rsid w:val="001C1B0A"/>
    <w:rsid w:val="001C2CBB"/>
    <w:rsid w:val="001C6F51"/>
    <w:rsid w:val="001C7F6F"/>
    <w:rsid w:val="001D03F7"/>
    <w:rsid w:val="001D1FDC"/>
    <w:rsid w:val="001D41A4"/>
    <w:rsid w:val="001D4695"/>
    <w:rsid w:val="001D5EC9"/>
    <w:rsid w:val="001D7C33"/>
    <w:rsid w:val="001E5351"/>
    <w:rsid w:val="001E65AD"/>
    <w:rsid w:val="001E78EB"/>
    <w:rsid w:val="001E7DB9"/>
    <w:rsid w:val="001F0F95"/>
    <w:rsid w:val="001F10CC"/>
    <w:rsid w:val="001F22F7"/>
    <w:rsid w:val="001F313F"/>
    <w:rsid w:val="001F7E65"/>
    <w:rsid w:val="0020260D"/>
    <w:rsid w:val="00202905"/>
    <w:rsid w:val="0020431D"/>
    <w:rsid w:val="00204E83"/>
    <w:rsid w:val="002069FE"/>
    <w:rsid w:val="002100E4"/>
    <w:rsid w:val="00214B8B"/>
    <w:rsid w:val="00214C88"/>
    <w:rsid w:val="00216A81"/>
    <w:rsid w:val="0022204C"/>
    <w:rsid w:val="00222D31"/>
    <w:rsid w:val="0022621A"/>
    <w:rsid w:val="002313A7"/>
    <w:rsid w:val="00231F38"/>
    <w:rsid w:val="002325C9"/>
    <w:rsid w:val="002335D1"/>
    <w:rsid w:val="002349EA"/>
    <w:rsid w:val="00240D47"/>
    <w:rsid w:val="00242956"/>
    <w:rsid w:val="002435F6"/>
    <w:rsid w:val="002448A7"/>
    <w:rsid w:val="00245268"/>
    <w:rsid w:val="00251DC3"/>
    <w:rsid w:val="002527E2"/>
    <w:rsid w:val="00254CCF"/>
    <w:rsid w:val="00256C45"/>
    <w:rsid w:val="00257DDE"/>
    <w:rsid w:val="002605C5"/>
    <w:rsid w:val="00262319"/>
    <w:rsid w:val="0026304D"/>
    <w:rsid w:val="0026388D"/>
    <w:rsid w:val="00263983"/>
    <w:rsid w:val="00265DBD"/>
    <w:rsid w:val="00267556"/>
    <w:rsid w:val="002711CC"/>
    <w:rsid w:val="00274616"/>
    <w:rsid w:val="00274F3C"/>
    <w:rsid w:val="00274FDA"/>
    <w:rsid w:val="0027517A"/>
    <w:rsid w:val="00275A5A"/>
    <w:rsid w:val="00277D8E"/>
    <w:rsid w:val="0028639E"/>
    <w:rsid w:val="002868CA"/>
    <w:rsid w:val="00286DE1"/>
    <w:rsid w:val="00287789"/>
    <w:rsid w:val="00290916"/>
    <w:rsid w:val="00290DEB"/>
    <w:rsid w:val="00292926"/>
    <w:rsid w:val="0029539B"/>
    <w:rsid w:val="00296731"/>
    <w:rsid w:val="002A1F9F"/>
    <w:rsid w:val="002A1FA1"/>
    <w:rsid w:val="002A3378"/>
    <w:rsid w:val="002A3474"/>
    <w:rsid w:val="002A4468"/>
    <w:rsid w:val="002A5447"/>
    <w:rsid w:val="002B04EA"/>
    <w:rsid w:val="002B1B9E"/>
    <w:rsid w:val="002B2CFB"/>
    <w:rsid w:val="002B2D1A"/>
    <w:rsid w:val="002B2ED5"/>
    <w:rsid w:val="002B309D"/>
    <w:rsid w:val="002B3AAD"/>
    <w:rsid w:val="002B3AEF"/>
    <w:rsid w:val="002B47D9"/>
    <w:rsid w:val="002B522F"/>
    <w:rsid w:val="002B5D90"/>
    <w:rsid w:val="002B69AB"/>
    <w:rsid w:val="002C1C3E"/>
    <w:rsid w:val="002C23F2"/>
    <w:rsid w:val="002C55B9"/>
    <w:rsid w:val="002C5965"/>
    <w:rsid w:val="002C6943"/>
    <w:rsid w:val="002C7195"/>
    <w:rsid w:val="002D1260"/>
    <w:rsid w:val="002D15C1"/>
    <w:rsid w:val="002D203E"/>
    <w:rsid w:val="002D341B"/>
    <w:rsid w:val="002D6B07"/>
    <w:rsid w:val="002D75F2"/>
    <w:rsid w:val="002D7B97"/>
    <w:rsid w:val="002E0DE7"/>
    <w:rsid w:val="002E153D"/>
    <w:rsid w:val="002E1890"/>
    <w:rsid w:val="002E1C29"/>
    <w:rsid w:val="002E3098"/>
    <w:rsid w:val="002F26B2"/>
    <w:rsid w:val="002F2B98"/>
    <w:rsid w:val="002F2E50"/>
    <w:rsid w:val="002F57AE"/>
    <w:rsid w:val="002F6372"/>
    <w:rsid w:val="002F6F2D"/>
    <w:rsid w:val="00301CD3"/>
    <w:rsid w:val="0030260E"/>
    <w:rsid w:val="003033F3"/>
    <w:rsid w:val="00304467"/>
    <w:rsid w:val="00304678"/>
    <w:rsid w:val="00306006"/>
    <w:rsid w:val="003073FE"/>
    <w:rsid w:val="00310FAE"/>
    <w:rsid w:val="00311958"/>
    <w:rsid w:val="00313438"/>
    <w:rsid w:val="00315228"/>
    <w:rsid w:val="00315B04"/>
    <w:rsid w:val="0031761C"/>
    <w:rsid w:val="00317819"/>
    <w:rsid w:val="00320362"/>
    <w:rsid w:val="00321050"/>
    <w:rsid w:val="0032129E"/>
    <w:rsid w:val="00322B02"/>
    <w:rsid w:val="003271D7"/>
    <w:rsid w:val="00330745"/>
    <w:rsid w:val="003314BB"/>
    <w:rsid w:val="0033228F"/>
    <w:rsid w:val="003334EB"/>
    <w:rsid w:val="00336C3F"/>
    <w:rsid w:val="00337E3E"/>
    <w:rsid w:val="0034043C"/>
    <w:rsid w:val="003416FE"/>
    <w:rsid w:val="0034226C"/>
    <w:rsid w:val="003452D3"/>
    <w:rsid w:val="00345EEE"/>
    <w:rsid w:val="00352718"/>
    <w:rsid w:val="003555E8"/>
    <w:rsid w:val="0035748E"/>
    <w:rsid w:val="00357C01"/>
    <w:rsid w:val="00360EB6"/>
    <w:rsid w:val="00361016"/>
    <w:rsid w:val="00361520"/>
    <w:rsid w:val="003632B0"/>
    <w:rsid w:val="00364829"/>
    <w:rsid w:val="0036482A"/>
    <w:rsid w:val="00365354"/>
    <w:rsid w:val="00365C44"/>
    <w:rsid w:val="0036656E"/>
    <w:rsid w:val="00366C02"/>
    <w:rsid w:val="00367480"/>
    <w:rsid w:val="00372162"/>
    <w:rsid w:val="0037629B"/>
    <w:rsid w:val="003766D1"/>
    <w:rsid w:val="0037711A"/>
    <w:rsid w:val="00377A2D"/>
    <w:rsid w:val="00377A77"/>
    <w:rsid w:val="00377E65"/>
    <w:rsid w:val="003801D5"/>
    <w:rsid w:val="0038020A"/>
    <w:rsid w:val="003805FA"/>
    <w:rsid w:val="00380FA5"/>
    <w:rsid w:val="00385D53"/>
    <w:rsid w:val="00387AE8"/>
    <w:rsid w:val="003904B5"/>
    <w:rsid w:val="003910E8"/>
    <w:rsid w:val="00392E61"/>
    <w:rsid w:val="0039320C"/>
    <w:rsid w:val="003937C4"/>
    <w:rsid w:val="003945A7"/>
    <w:rsid w:val="003949DD"/>
    <w:rsid w:val="00396682"/>
    <w:rsid w:val="00397DD5"/>
    <w:rsid w:val="003A04CE"/>
    <w:rsid w:val="003A5C41"/>
    <w:rsid w:val="003A64F2"/>
    <w:rsid w:val="003A677A"/>
    <w:rsid w:val="003B0BA5"/>
    <w:rsid w:val="003B16B8"/>
    <w:rsid w:val="003B2ADF"/>
    <w:rsid w:val="003B3C21"/>
    <w:rsid w:val="003B3F98"/>
    <w:rsid w:val="003C009B"/>
    <w:rsid w:val="003C1001"/>
    <w:rsid w:val="003C1E4F"/>
    <w:rsid w:val="003C54BA"/>
    <w:rsid w:val="003C6C33"/>
    <w:rsid w:val="003D00FA"/>
    <w:rsid w:val="003D2185"/>
    <w:rsid w:val="003D22C4"/>
    <w:rsid w:val="003E139C"/>
    <w:rsid w:val="003E3E3A"/>
    <w:rsid w:val="003E433E"/>
    <w:rsid w:val="003E5ABC"/>
    <w:rsid w:val="003E6AD2"/>
    <w:rsid w:val="003E6AF4"/>
    <w:rsid w:val="003E7DD5"/>
    <w:rsid w:val="003F1195"/>
    <w:rsid w:val="003F1560"/>
    <w:rsid w:val="003F2A6C"/>
    <w:rsid w:val="003F46F2"/>
    <w:rsid w:val="003F4876"/>
    <w:rsid w:val="003F4D0B"/>
    <w:rsid w:val="003F7179"/>
    <w:rsid w:val="0040412A"/>
    <w:rsid w:val="0040689F"/>
    <w:rsid w:val="00406C98"/>
    <w:rsid w:val="00410B10"/>
    <w:rsid w:val="004112BC"/>
    <w:rsid w:val="0042143E"/>
    <w:rsid w:val="00422D8B"/>
    <w:rsid w:val="0042554C"/>
    <w:rsid w:val="00427030"/>
    <w:rsid w:val="00427A58"/>
    <w:rsid w:val="00430393"/>
    <w:rsid w:val="00431216"/>
    <w:rsid w:val="00432D47"/>
    <w:rsid w:val="00434688"/>
    <w:rsid w:val="004367AD"/>
    <w:rsid w:val="00436CC0"/>
    <w:rsid w:val="00437F76"/>
    <w:rsid w:val="00440621"/>
    <w:rsid w:val="0044149E"/>
    <w:rsid w:val="00441614"/>
    <w:rsid w:val="00441E22"/>
    <w:rsid w:val="0044250D"/>
    <w:rsid w:val="0044366A"/>
    <w:rsid w:val="004449F9"/>
    <w:rsid w:val="004470EB"/>
    <w:rsid w:val="00447A76"/>
    <w:rsid w:val="00451163"/>
    <w:rsid w:val="004531D9"/>
    <w:rsid w:val="0045561B"/>
    <w:rsid w:val="00456850"/>
    <w:rsid w:val="004570E0"/>
    <w:rsid w:val="0046070E"/>
    <w:rsid w:val="004655C7"/>
    <w:rsid w:val="00465A29"/>
    <w:rsid w:val="00466250"/>
    <w:rsid w:val="0046628E"/>
    <w:rsid w:val="00467169"/>
    <w:rsid w:val="00467301"/>
    <w:rsid w:val="00470A10"/>
    <w:rsid w:val="00473501"/>
    <w:rsid w:val="004736CD"/>
    <w:rsid w:val="00473AA6"/>
    <w:rsid w:val="00475930"/>
    <w:rsid w:val="004769B6"/>
    <w:rsid w:val="00477C5B"/>
    <w:rsid w:val="00481FDA"/>
    <w:rsid w:val="00482A09"/>
    <w:rsid w:val="00483A5A"/>
    <w:rsid w:val="00484FA1"/>
    <w:rsid w:val="00485827"/>
    <w:rsid w:val="00487586"/>
    <w:rsid w:val="00490827"/>
    <w:rsid w:val="00491C95"/>
    <w:rsid w:val="00491F67"/>
    <w:rsid w:val="004931D0"/>
    <w:rsid w:val="004932AE"/>
    <w:rsid w:val="0049359F"/>
    <w:rsid w:val="00493C10"/>
    <w:rsid w:val="00494BA4"/>
    <w:rsid w:val="0049652F"/>
    <w:rsid w:val="00496B4E"/>
    <w:rsid w:val="00497393"/>
    <w:rsid w:val="004A1866"/>
    <w:rsid w:val="004A360A"/>
    <w:rsid w:val="004A5274"/>
    <w:rsid w:val="004A75BD"/>
    <w:rsid w:val="004A78EB"/>
    <w:rsid w:val="004B04D0"/>
    <w:rsid w:val="004B2329"/>
    <w:rsid w:val="004B357F"/>
    <w:rsid w:val="004B5EC9"/>
    <w:rsid w:val="004B63E4"/>
    <w:rsid w:val="004C0910"/>
    <w:rsid w:val="004C0E5F"/>
    <w:rsid w:val="004C14CB"/>
    <w:rsid w:val="004C2926"/>
    <w:rsid w:val="004C3AB4"/>
    <w:rsid w:val="004C3D98"/>
    <w:rsid w:val="004C4D0A"/>
    <w:rsid w:val="004C5C69"/>
    <w:rsid w:val="004C6C59"/>
    <w:rsid w:val="004C765C"/>
    <w:rsid w:val="004D2DB9"/>
    <w:rsid w:val="004D4B58"/>
    <w:rsid w:val="004D7DFD"/>
    <w:rsid w:val="004E0808"/>
    <w:rsid w:val="004E24BF"/>
    <w:rsid w:val="004E7075"/>
    <w:rsid w:val="004E7CAA"/>
    <w:rsid w:val="004F115B"/>
    <w:rsid w:val="004F12A4"/>
    <w:rsid w:val="004F1AE0"/>
    <w:rsid w:val="004F2A78"/>
    <w:rsid w:val="004F37D9"/>
    <w:rsid w:val="004F66A0"/>
    <w:rsid w:val="004F70BE"/>
    <w:rsid w:val="004F766B"/>
    <w:rsid w:val="00505F74"/>
    <w:rsid w:val="0051111D"/>
    <w:rsid w:val="005128AB"/>
    <w:rsid w:val="00515B64"/>
    <w:rsid w:val="005162B9"/>
    <w:rsid w:val="00517277"/>
    <w:rsid w:val="00517E55"/>
    <w:rsid w:val="00520E2F"/>
    <w:rsid w:val="00521861"/>
    <w:rsid w:val="005221EA"/>
    <w:rsid w:val="00522BFC"/>
    <w:rsid w:val="00526AD0"/>
    <w:rsid w:val="00526E1E"/>
    <w:rsid w:val="00530B2A"/>
    <w:rsid w:val="00530BC6"/>
    <w:rsid w:val="005314CD"/>
    <w:rsid w:val="00533FD9"/>
    <w:rsid w:val="00535013"/>
    <w:rsid w:val="0054102C"/>
    <w:rsid w:val="0054212A"/>
    <w:rsid w:val="005426CE"/>
    <w:rsid w:val="0054586B"/>
    <w:rsid w:val="00546C85"/>
    <w:rsid w:val="0055124A"/>
    <w:rsid w:val="00552783"/>
    <w:rsid w:val="00554A52"/>
    <w:rsid w:val="00554E90"/>
    <w:rsid w:val="00555299"/>
    <w:rsid w:val="0055708D"/>
    <w:rsid w:val="00560076"/>
    <w:rsid w:val="0056286D"/>
    <w:rsid w:val="00563B9F"/>
    <w:rsid w:val="00566179"/>
    <w:rsid w:val="00572251"/>
    <w:rsid w:val="00573303"/>
    <w:rsid w:val="00574FDF"/>
    <w:rsid w:val="0057548F"/>
    <w:rsid w:val="00577445"/>
    <w:rsid w:val="00577A45"/>
    <w:rsid w:val="005805F3"/>
    <w:rsid w:val="005816B1"/>
    <w:rsid w:val="00581CD6"/>
    <w:rsid w:val="00581CFD"/>
    <w:rsid w:val="00582B8A"/>
    <w:rsid w:val="005854E9"/>
    <w:rsid w:val="00586E1C"/>
    <w:rsid w:val="00590A6B"/>
    <w:rsid w:val="00591DC8"/>
    <w:rsid w:val="00592380"/>
    <w:rsid w:val="00593674"/>
    <w:rsid w:val="00594BD5"/>
    <w:rsid w:val="00596830"/>
    <w:rsid w:val="00596C80"/>
    <w:rsid w:val="005A1E49"/>
    <w:rsid w:val="005A2273"/>
    <w:rsid w:val="005A6C2B"/>
    <w:rsid w:val="005A7398"/>
    <w:rsid w:val="005A79AA"/>
    <w:rsid w:val="005B088F"/>
    <w:rsid w:val="005B0D17"/>
    <w:rsid w:val="005B3EFB"/>
    <w:rsid w:val="005B52D4"/>
    <w:rsid w:val="005B6FFF"/>
    <w:rsid w:val="005C0C3F"/>
    <w:rsid w:val="005C425F"/>
    <w:rsid w:val="005C463C"/>
    <w:rsid w:val="005C593E"/>
    <w:rsid w:val="005C6B2C"/>
    <w:rsid w:val="005C7A6E"/>
    <w:rsid w:val="005D042C"/>
    <w:rsid w:val="005D0FC5"/>
    <w:rsid w:val="005D1388"/>
    <w:rsid w:val="005D13C4"/>
    <w:rsid w:val="005D146D"/>
    <w:rsid w:val="005E107B"/>
    <w:rsid w:val="005E164D"/>
    <w:rsid w:val="005E2261"/>
    <w:rsid w:val="005E2A59"/>
    <w:rsid w:val="005E54F5"/>
    <w:rsid w:val="005E5F5A"/>
    <w:rsid w:val="005E6AC5"/>
    <w:rsid w:val="005E74AE"/>
    <w:rsid w:val="005F31DD"/>
    <w:rsid w:val="005F58C1"/>
    <w:rsid w:val="00600679"/>
    <w:rsid w:val="00601457"/>
    <w:rsid w:val="00603338"/>
    <w:rsid w:val="00604513"/>
    <w:rsid w:val="00605E34"/>
    <w:rsid w:val="0060684E"/>
    <w:rsid w:val="0061348F"/>
    <w:rsid w:val="00615392"/>
    <w:rsid w:val="00616105"/>
    <w:rsid w:val="006172BA"/>
    <w:rsid w:val="00617A05"/>
    <w:rsid w:val="00617AAB"/>
    <w:rsid w:val="0062114E"/>
    <w:rsid w:val="006231F7"/>
    <w:rsid w:val="006249E6"/>
    <w:rsid w:val="006319A8"/>
    <w:rsid w:val="00632FF6"/>
    <w:rsid w:val="006352D0"/>
    <w:rsid w:val="00640AC0"/>
    <w:rsid w:val="00646AD7"/>
    <w:rsid w:val="00647B44"/>
    <w:rsid w:val="00652F7F"/>
    <w:rsid w:val="006632EE"/>
    <w:rsid w:val="00663705"/>
    <w:rsid w:val="00664A83"/>
    <w:rsid w:val="00664F6B"/>
    <w:rsid w:val="006650D8"/>
    <w:rsid w:val="0066583F"/>
    <w:rsid w:val="00666BC9"/>
    <w:rsid w:val="00667FD0"/>
    <w:rsid w:val="00674E04"/>
    <w:rsid w:val="00675B07"/>
    <w:rsid w:val="00676A5E"/>
    <w:rsid w:val="006802EB"/>
    <w:rsid w:val="0068246A"/>
    <w:rsid w:val="00684C13"/>
    <w:rsid w:val="006900D7"/>
    <w:rsid w:val="006908A8"/>
    <w:rsid w:val="00694D75"/>
    <w:rsid w:val="00696097"/>
    <w:rsid w:val="00696324"/>
    <w:rsid w:val="006A4D7D"/>
    <w:rsid w:val="006A51EA"/>
    <w:rsid w:val="006A6E6B"/>
    <w:rsid w:val="006A7603"/>
    <w:rsid w:val="006B00D0"/>
    <w:rsid w:val="006B0A6D"/>
    <w:rsid w:val="006B29FD"/>
    <w:rsid w:val="006B4ED6"/>
    <w:rsid w:val="006B7744"/>
    <w:rsid w:val="006B7A4F"/>
    <w:rsid w:val="006C0109"/>
    <w:rsid w:val="006C03E8"/>
    <w:rsid w:val="006C13A1"/>
    <w:rsid w:val="006C2557"/>
    <w:rsid w:val="006C2F04"/>
    <w:rsid w:val="006C3A21"/>
    <w:rsid w:val="006C44DD"/>
    <w:rsid w:val="006C685F"/>
    <w:rsid w:val="006C7B41"/>
    <w:rsid w:val="006D2D0A"/>
    <w:rsid w:val="006D5A85"/>
    <w:rsid w:val="006D5D41"/>
    <w:rsid w:val="006D70AA"/>
    <w:rsid w:val="006D7BDE"/>
    <w:rsid w:val="006E0EBC"/>
    <w:rsid w:val="006E3DFB"/>
    <w:rsid w:val="006E5529"/>
    <w:rsid w:val="006E684A"/>
    <w:rsid w:val="006E75ED"/>
    <w:rsid w:val="006F0075"/>
    <w:rsid w:val="006F0458"/>
    <w:rsid w:val="006F1F74"/>
    <w:rsid w:val="006F44DA"/>
    <w:rsid w:val="006F5225"/>
    <w:rsid w:val="0070006F"/>
    <w:rsid w:val="00701B7E"/>
    <w:rsid w:val="007024A7"/>
    <w:rsid w:val="007040D2"/>
    <w:rsid w:val="007041D0"/>
    <w:rsid w:val="007101B7"/>
    <w:rsid w:val="0071101A"/>
    <w:rsid w:val="00711F29"/>
    <w:rsid w:val="00713790"/>
    <w:rsid w:val="00714CB9"/>
    <w:rsid w:val="00715646"/>
    <w:rsid w:val="00722D62"/>
    <w:rsid w:val="00730594"/>
    <w:rsid w:val="0073082D"/>
    <w:rsid w:val="00730CD7"/>
    <w:rsid w:val="00731AAB"/>
    <w:rsid w:val="00732305"/>
    <w:rsid w:val="00732807"/>
    <w:rsid w:val="007333C8"/>
    <w:rsid w:val="007333DE"/>
    <w:rsid w:val="00733692"/>
    <w:rsid w:val="00735F1C"/>
    <w:rsid w:val="00736802"/>
    <w:rsid w:val="007378EC"/>
    <w:rsid w:val="007455E3"/>
    <w:rsid w:val="00746C00"/>
    <w:rsid w:val="00746D0A"/>
    <w:rsid w:val="00747A1D"/>
    <w:rsid w:val="00747F5D"/>
    <w:rsid w:val="00752401"/>
    <w:rsid w:val="00752426"/>
    <w:rsid w:val="00754C31"/>
    <w:rsid w:val="0075530E"/>
    <w:rsid w:val="00755F36"/>
    <w:rsid w:val="0075711A"/>
    <w:rsid w:val="00757549"/>
    <w:rsid w:val="00762EED"/>
    <w:rsid w:val="007640B6"/>
    <w:rsid w:val="00764C76"/>
    <w:rsid w:val="0076647C"/>
    <w:rsid w:val="00772AF2"/>
    <w:rsid w:val="00772CCD"/>
    <w:rsid w:val="00773989"/>
    <w:rsid w:val="00776A45"/>
    <w:rsid w:val="00777B1F"/>
    <w:rsid w:val="00782F14"/>
    <w:rsid w:val="0078470D"/>
    <w:rsid w:val="00786453"/>
    <w:rsid w:val="00786FB3"/>
    <w:rsid w:val="00787B99"/>
    <w:rsid w:val="007908B8"/>
    <w:rsid w:val="00790CB8"/>
    <w:rsid w:val="00794F2F"/>
    <w:rsid w:val="00796A71"/>
    <w:rsid w:val="007A0A0E"/>
    <w:rsid w:val="007A1A28"/>
    <w:rsid w:val="007A226F"/>
    <w:rsid w:val="007A23D5"/>
    <w:rsid w:val="007A35FD"/>
    <w:rsid w:val="007A472E"/>
    <w:rsid w:val="007A49C4"/>
    <w:rsid w:val="007A4CE8"/>
    <w:rsid w:val="007A5E80"/>
    <w:rsid w:val="007B1F38"/>
    <w:rsid w:val="007B6074"/>
    <w:rsid w:val="007B67BB"/>
    <w:rsid w:val="007C2021"/>
    <w:rsid w:val="007C36A5"/>
    <w:rsid w:val="007C418C"/>
    <w:rsid w:val="007C4AE7"/>
    <w:rsid w:val="007C5042"/>
    <w:rsid w:val="007C5185"/>
    <w:rsid w:val="007C56E1"/>
    <w:rsid w:val="007C7023"/>
    <w:rsid w:val="007D4212"/>
    <w:rsid w:val="007D453F"/>
    <w:rsid w:val="007D5517"/>
    <w:rsid w:val="007E3102"/>
    <w:rsid w:val="007E3393"/>
    <w:rsid w:val="007E3558"/>
    <w:rsid w:val="007E377F"/>
    <w:rsid w:val="007E4934"/>
    <w:rsid w:val="007E5F91"/>
    <w:rsid w:val="007F3F8C"/>
    <w:rsid w:val="007F3FCD"/>
    <w:rsid w:val="00801E06"/>
    <w:rsid w:val="00802186"/>
    <w:rsid w:val="0080242F"/>
    <w:rsid w:val="00802A3A"/>
    <w:rsid w:val="00804021"/>
    <w:rsid w:val="0080467C"/>
    <w:rsid w:val="00804FB5"/>
    <w:rsid w:val="00806440"/>
    <w:rsid w:val="00814AA7"/>
    <w:rsid w:val="00816E60"/>
    <w:rsid w:val="00817B19"/>
    <w:rsid w:val="00817EB1"/>
    <w:rsid w:val="008248AC"/>
    <w:rsid w:val="0082607F"/>
    <w:rsid w:val="00826BF3"/>
    <w:rsid w:val="00827A07"/>
    <w:rsid w:val="0083014E"/>
    <w:rsid w:val="00830BB6"/>
    <w:rsid w:val="00833E35"/>
    <w:rsid w:val="00833F4D"/>
    <w:rsid w:val="00834222"/>
    <w:rsid w:val="008400BC"/>
    <w:rsid w:val="0084010C"/>
    <w:rsid w:val="008408E4"/>
    <w:rsid w:val="00842CB8"/>
    <w:rsid w:val="00843274"/>
    <w:rsid w:val="00844E11"/>
    <w:rsid w:val="008458B7"/>
    <w:rsid w:val="0084780A"/>
    <w:rsid w:val="00847A51"/>
    <w:rsid w:val="0085088F"/>
    <w:rsid w:val="00852393"/>
    <w:rsid w:val="008525DE"/>
    <w:rsid w:val="00852AD6"/>
    <w:rsid w:val="00852F9F"/>
    <w:rsid w:val="00854406"/>
    <w:rsid w:val="00854DB7"/>
    <w:rsid w:val="008568CC"/>
    <w:rsid w:val="00857334"/>
    <w:rsid w:val="008607B3"/>
    <w:rsid w:val="00860ABD"/>
    <w:rsid w:val="00862F1D"/>
    <w:rsid w:val="00864923"/>
    <w:rsid w:val="00865040"/>
    <w:rsid w:val="008654B3"/>
    <w:rsid w:val="00865C97"/>
    <w:rsid w:val="008673B5"/>
    <w:rsid w:val="008704A2"/>
    <w:rsid w:val="00870771"/>
    <w:rsid w:val="00873491"/>
    <w:rsid w:val="008740AD"/>
    <w:rsid w:val="00874E65"/>
    <w:rsid w:val="00875B7F"/>
    <w:rsid w:val="008764AC"/>
    <w:rsid w:val="008768BA"/>
    <w:rsid w:val="00881399"/>
    <w:rsid w:val="008849C7"/>
    <w:rsid w:val="00885500"/>
    <w:rsid w:val="00885CB2"/>
    <w:rsid w:val="0088720B"/>
    <w:rsid w:val="008876F5"/>
    <w:rsid w:val="00893113"/>
    <w:rsid w:val="008A2A90"/>
    <w:rsid w:val="008A5D5E"/>
    <w:rsid w:val="008A65C7"/>
    <w:rsid w:val="008A6C0C"/>
    <w:rsid w:val="008A7A0D"/>
    <w:rsid w:val="008B0F63"/>
    <w:rsid w:val="008B1F2F"/>
    <w:rsid w:val="008B23B7"/>
    <w:rsid w:val="008B4F36"/>
    <w:rsid w:val="008B5745"/>
    <w:rsid w:val="008B669A"/>
    <w:rsid w:val="008C3645"/>
    <w:rsid w:val="008D0220"/>
    <w:rsid w:val="008E00C9"/>
    <w:rsid w:val="008E00F4"/>
    <w:rsid w:val="008E22BB"/>
    <w:rsid w:val="008E235E"/>
    <w:rsid w:val="008E2902"/>
    <w:rsid w:val="008E2E61"/>
    <w:rsid w:val="008E3913"/>
    <w:rsid w:val="008E3A57"/>
    <w:rsid w:val="008E3B33"/>
    <w:rsid w:val="008E4368"/>
    <w:rsid w:val="008E4A2D"/>
    <w:rsid w:val="008E5094"/>
    <w:rsid w:val="008E7800"/>
    <w:rsid w:val="008E7E2C"/>
    <w:rsid w:val="008F01FF"/>
    <w:rsid w:val="008F2C8F"/>
    <w:rsid w:val="008F4706"/>
    <w:rsid w:val="008F5DF9"/>
    <w:rsid w:val="008F65BE"/>
    <w:rsid w:val="008F72DA"/>
    <w:rsid w:val="008F7791"/>
    <w:rsid w:val="008F787A"/>
    <w:rsid w:val="00905497"/>
    <w:rsid w:val="00907884"/>
    <w:rsid w:val="00907FCE"/>
    <w:rsid w:val="009124F3"/>
    <w:rsid w:val="00912C4F"/>
    <w:rsid w:val="009156DF"/>
    <w:rsid w:val="00916C82"/>
    <w:rsid w:val="00922729"/>
    <w:rsid w:val="00923A90"/>
    <w:rsid w:val="009249BB"/>
    <w:rsid w:val="00924DDC"/>
    <w:rsid w:val="00927F66"/>
    <w:rsid w:val="009320D5"/>
    <w:rsid w:val="00932DF7"/>
    <w:rsid w:val="00942966"/>
    <w:rsid w:val="00942D72"/>
    <w:rsid w:val="0094381D"/>
    <w:rsid w:val="00943AF1"/>
    <w:rsid w:val="00945931"/>
    <w:rsid w:val="00945DF1"/>
    <w:rsid w:val="00950DD3"/>
    <w:rsid w:val="00954B7C"/>
    <w:rsid w:val="00955767"/>
    <w:rsid w:val="00967542"/>
    <w:rsid w:val="009704B2"/>
    <w:rsid w:val="00970D19"/>
    <w:rsid w:val="009734DC"/>
    <w:rsid w:val="0097496C"/>
    <w:rsid w:val="009771D4"/>
    <w:rsid w:val="00980109"/>
    <w:rsid w:val="00980C38"/>
    <w:rsid w:val="00982FE2"/>
    <w:rsid w:val="0098667B"/>
    <w:rsid w:val="009876E3"/>
    <w:rsid w:val="00991D5D"/>
    <w:rsid w:val="00997065"/>
    <w:rsid w:val="009A142C"/>
    <w:rsid w:val="009A1BA6"/>
    <w:rsid w:val="009A4D25"/>
    <w:rsid w:val="009A5FF1"/>
    <w:rsid w:val="009B1DCB"/>
    <w:rsid w:val="009B68FB"/>
    <w:rsid w:val="009C00E1"/>
    <w:rsid w:val="009C1D28"/>
    <w:rsid w:val="009C7915"/>
    <w:rsid w:val="009D03B9"/>
    <w:rsid w:val="009D0E2B"/>
    <w:rsid w:val="009D38A1"/>
    <w:rsid w:val="009D3A27"/>
    <w:rsid w:val="009D7A35"/>
    <w:rsid w:val="009D7C1F"/>
    <w:rsid w:val="009E1362"/>
    <w:rsid w:val="009E2AAF"/>
    <w:rsid w:val="009E348D"/>
    <w:rsid w:val="009E60A0"/>
    <w:rsid w:val="009E6A2B"/>
    <w:rsid w:val="009F576B"/>
    <w:rsid w:val="009F5EC4"/>
    <w:rsid w:val="009F6555"/>
    <w:rsid w:val="009F66B7"/>
    <w:rsid w:val="009F6CAB"/>
    <w:rsid w:val="009F6CF1"/>
    <w:rsid w:val="009F6E95"/>
    <w:rsid w:val="00A00862"/>
    <w:rsid w:val="00A01EE8"/>
    <w:rsid w:val="00A02FF4"/>
    <w:rsid w:val="00A042A9"/>
    <w:rsid w:val="00A04B25"/>
    <w:rsid w:val="00A05793"/>
    <w:rsid w:val="00A05F68"/>
    <w:rsid w:val="00A110FA"/>
    <w:rsid w:val="00A11481"/>
    <w:rsid w:val="00A1257C"/>
    <w:rsid w:val="00A13481"/>
    <w:rsid w:val="00A15CBC"/>
    <w:rsid w:val="00A175CD"/>
    <w:rsid w:val="00A17A64"/>
    <w:rsid w:val="00A17F25"/>
    <w:rsid w:val="00A20788"/>
    <w:rsid w:val="00A21B46"/>
    <w:rsid w:val="00A232B9"/>
    <w:rsid w:val="00A23B84"/>
    <w:rsid w:val="00A2432F"/>
    <w:rsid w:val="00A24DE7"/>
    <w:rsid w:val="00A25441"/>
    <w:rsid w:val="00A26B01"/>
    <w:rsid w:val="00A3304F"/>
    <w:rsid w:val="00A35ED9"/>
    <w:rsid w:val="00A36AFD"/>
    <w:rsid w:val="00A36DBA"/>
    <w:rsid w:val="00A37E3D"/>
    <w:rsid w:val="00A44176"/>
    <w:rsid w:val="00A45420"/>
    <w:rsid w:val="00A53429"/>
    <w:rsid w:val="00A541B3"/>
    <w:rsid w:val="00A54294"/>
    <w:rsid w:val="00A545CA"/>
    <w:rsid w:val="00A54999"/>
    <w:rsid w:val="00A56AFA"/>
    <w:rsid w:val="00A57752"/>
    <w:rsid w:val="00A6017C"/>
    <w:rsid w:val="00A60393"/>
    <w:rsid w:val="00A61784"/>
    <w:rsid w:val="00A61C8B"/>
    <w:rsid w:val="00A6211B"/>
    <w:rsid w:val="00A6219A"/>
    <w:rsid w:val="00A64C52"/>
    <w:rsid w:val="00A65329"/>
    <w:rsid w:val="00A67A19"/>
    <w:rsid w:val="00A715D3"/>
    <w:rsid w:val="00A71CE1"/>
    <w:rsid w:val="00A76D83"/>
    <w:rsid w:val="00A7758F"/>
    <w:rsid w:val="00A82978"/>
    <w:rsid w:val="00A8366A"/>
    <w:rsid w:val="00A8452C"/>
    <w:rsid w:val="00A856A0"/>
    <w:rsid w:val="00A87B84"/>
    <w:rsid w:val="00A91233"/>
    <w:rsid w:val="00A923AA"/>
    <w:rsid w:val="00A9487E"/>
    <w:rsid w:val="00A95340"/>
    <w:rsid w:val="00A9685F"/>
    <w:rsid w:val="00A9727D"/>
    <w:rsid w:val="00A97643"/>
    <w:rsid w:val="00AA3DA5"/>
    <w:rsid w:val="00AA4458"/>
    <w:rsid w:val="00AA5333"/>
    <w:rsid w:val="00AA54E8"/>
    <w:rsid w:val="00AA6729"/>
    <w:rsid w:val="00AA6FEF"/>
    <w:rsid w:val="00AB1AFF"/>
    <w:rsid w:val="00AB1D64"/>
    <w:rsid w:val="00AB489C"/>
    <w:rsid w:val="00AB6DC0"/>
    <w:rsid w:val="00AC142E"/>
    <w:rsid w:val="00AC15B0"/>
    <w:rsid w:val="00AC2B43"/>
    <w:rsid w:val="00AD135B"/>
    <w:rsid w:val="00AD1D9B"/>
    <w:rsid w:val="00AD759D"/>
    <w:rsid w:val="00AD7F7D"/>
    <w:rsid w:val="00AE0208"/>
    <w:rsid w:val="00AE057E"/>
    <w:rsid w:val="00AE07B6"/>
    <w:rsid w:val="00AE4EC5"/>
    <w:rsid w:val="00AE54F5"/>
    <w:rsid w:val="00AE6350"/>
    <w:rsid w:val="00AE74CD"/>
    <w:rsid w:val="00AF49A0"/>
    <w:rsid w:val="00B04BA0"/>
    <w:rsid w:val="00B061CD"/>
    <w:rsid w:val="00B10510"/>
    <w:rsid w:val="00B12F62"/>
    <w:rsid w:val="00B13507"/>
    <w:rsid w:val="00B14B0E"/>
    <w:rsid w:val="00B14C43"/>
    <w:rsid w:val="00B15821"/>
    <w:rsid w:val="00B16909"/>
    <w:rsid w:val="00B17326"/>
    <w:rsid w:val="00B20516"/>
    <w:rsid w:val="00B21E36"/>
    <w:rsid w:val="00B228A8"/>
    <w:rsid w:val="00B24276"/>
    <w:rsid w:val="00B27EAF"/>
    <w:rsid w:val="00B30B8B"/>
    <w:rsid w:val="00B312F3"/>
    <w:rsid w:val="00B31526"/>
    <w:rsid w:val="00B31681"/>
    <w:rsid w:val="00B32D0F"/>
    <w:rsid w:val="00B33AAC"/>
    <w:rsid w:val="00B33BE5"/>
    <w:rsid w:val="00B33C0B"/>
    <w:rsid w:val="00B3423D"/>
    <w:rsid w:val="00B36ED6"/>
    <w:rsid w:val="00B40F45"/>
    <w:rsid w:val="00B40FF0"/>
    <w:rsid w:val="00B41055"/>
    <w:rsid w:val="00B416D9"/>
    <w:rsid w:val="00B461A6"/>
    <w:rsid w:val="00B4776B"/>
    <w:rsid w:val="00B51D94"/>
    <w:rsid w:val="00B544A5"/>
    <w:rsid w:val="00B54522"/>
    <w:rsid w:val="00B54A95"/>
    <w:rsid w:val="00B54ACE"/>
    <w:rsid w:val="00B5670D"/>
    <w:rsid w:val="00B61663"/>
    <w:rsid w:val="00B65099"/>
    <w:rsid w:val="00B704E1"/>
    <w:rsid w:val="00B72D70"/>
    <w:rsid w:val="00B731B9"/>
    <w:rsid w:val="00B74334"/>
    <w:rsid w:val="00B777D6"/>
    <w:rsid w:val="00B8231B"/>
    <w:rsid w:val="00B82BA5"/>
    <w:rsid w:val="00B82D46"/>
    <w:rsid w:val="00B84388"/>
    <w:rsid w:val="00B8568F"/>
    <w:rsid w:val="00B8572F"/>
    <w:rsid w:val="00B86A69"/>
    <w:rsid w:val="00B9063C"/>
    <w:rsid w:val="00B91304"/>
    <w:rsid w:val="00B91397"/>
    <w:rsid w:val="00B91A56"/>
    <w:rsid w:val="00B93629"/>
    <w:rsid w:val="00B93B2C"/>
    <w:rsid w:val="00B9432C"/>
    <w:rsid w:val="00B9625C"/>
    <w:rsid w:val="00B966D6"/>
    <w:rsid w:val="00BA31E4"/>
    <w:rsid w:val="00BA3984"/>
    <w:rsid w:val="00BA3DE6"/>
    <w:rsid w:val="00BA4759"/>
    <w:rsid w:val="00BA627E"/>
    <w:rsid w:val="00BA769D"/>
    <w:rsid w:val="00BA7D03"/>
    <w:rsid w:val="00BB0954"/>
    <w:rsid w:val="00BB4098"/>
    <w:rsid w:val="00BB5006"/>
    <w:rsid w:val="00BB5766"/>
    <w:rsid w:val="00BC0548"/>
    <w:rsid w:val="00BC1A30"/>
    <w:rsid w:val="00BC67AF"/>
    <w:rsid w:val="00BC7443"/>
    <w:rsid w:val="00BD014D"/>
    <w:rsid w:val="00BD07EF"/>
    <w:rsid w:val="00BD3ED5"/>
    <w:rsid w:val="00BD58E4"/>
    <w:rsid w:val="00BD6810"/>
    <w:rsid w:val="00BD69B0"/>
    <w:rsid w:val="00BE5789"/>
    <w:rsid w:val="00BE785A"/>
    <w:rsid w:val="00BE7A5C"/>
    <w:rsid w:val="00BF00B6"/>
    <w:rsid w:val="00BF3853"/>
    <w:rsid w:val="00BF5773"/>
    <w:rsid w:val="00BF64C6"/>
    <w:rsid w:val="00C022E9"/>
    <w:rsid w:val="00C02C93"/>
    <w:rsid w:val="00C10470"/>
    <w:rsid w:val="00C12B20"/>
    <w:rsid w:val="00C138AB"/>
    <w:rsid w:val="00C1480B"/>
    <w:rsid w:val="00C1481F"/>
    <w:rsid w:val="00C1708C"/>
    <w:rsid w:val="00C214C1"/>
    <w:rsid w:val="00C227E3"/>
    <w:rsid w:val="00C23E5B"/>
    <w:rsid w:val="00C27D83"/>
    <w:rsid w:val="00C30AE5"/>
    <w:rsid w:val="00C3212F"/>
    <w:rsid w:val="00C35150"/>
    <w:rsid w:val="00C35E81"/>
    <w:rsid w:val="00C3625F"/>
    <w:rsid w:val="00C37C01"/>
    <w:rsid w:val="00C37D68"/>
    <w:rsid w:val="00C42527"/>
    <w:rsid w:val="00C43B9B"/>
    <w:rsid w:val="00C52576"/>
    <w:rsid w:val="00C525C5"/>
    <w:rsid w:val="00C532D8"/>
    <w:rsid w:val="00C54470"/>
    <w:rsid w:val="00C57140"/>
    <w:rsid w:val="00C60CCF"/>
    <w:rsid w:val="00C61AD9"/>
    <w:rsid w:val="00C63821"/>
    <w:rsid w:val="00C64055"/>
    <w:rsid w:val="00C64FF1"/>
    <w:rsid w:val="00C676AC"/>
    <w:rsid w:val="00C71D3D"/>
    <w:rsid w:val="00C71DEB"/>
    <w:rsid w:val="00C7372D"/>
    <w:rsid w:val="00C7387E"/>
    <w:rsid w:val="00C73CFC"/>
    <w:rsid w:val="00C7532F"/>
    <w:rsid w:val="00C75C1F"/>
    <w:rsid w:val="00C80468"/>
    <w:rsid w:val="00C81A25"/>
    <w:rsid w:val="00C81E8D"/>
    <w:rsid w:val="00C8297A"/>
    <w:rsid w:val="00C83EE7"/>
    <w:rsid w:val="00C843FE"/>
    <w:rsid w:val="00C86EF8"/>
    <w:rsid w:val="00C9202C"/>
    <w:rsid w:val="00C92202"/>
    <w:rsid w:val="00C933EC"/>
    <w:rsid w:val="00C93DA0"/>
    <w:rsid w:val="00C94C6C"/>
    <w:rsid w:val="00C972CC"/>
    <w:rsid w:val="00CA031F"/>
    <w:rsid w:val="00CA0A66"/>
    <w:rsid w:val="00CA128D"/>
    <w:rsid w:val="00CA25CB"/>
    <w:rsid w:val="00CA7359"/>
    <w:rsid w:val="00CA7A6E"/>
    <w:rsid w:val="00CB18D8"/>
    <w:rsid w:val="00CB4E55"/>
    <w:rsid w:val="00CB5343"/>
    <w:rsid w:val="00CB6394"/>
    <w:rsid w:val="00CC1C8A"/>
    <w:rsid w:val="00CC3291"/>
    <w:rsid w:val="00CC73AE"/>
    <w:rsid w:val="00CD0AD2"/>
    <w:rsid w:val="00CD14D0"/>
    <w:rsid w:val="00CD4FE0"/>
    <w:rsid w:val="00CD7718"/>
    <w:rsid w:val="00CE388C"/>
    <w:rsid w:val="00CE3B32"/>
    <w:rsid w:val="00CF0391"/>
    <w:rsid w:val="00CF1AFC"/>
    <w:rsid w:val="00CF28F5"/>
    <w:rsid w:val="00CF2BD6"/>
    <w:rsid w:val="00CF3D82"/>
    <w:rsid w:val="00CF4254"/>
    <w:rsid w:val="00CF5DBB"/>
    <w:rsid w:val="00D006B4"/>
    <w:rsid w:val="00D02B3A"/>
    <w:rsid w:val="00D0714C"/>
    <w:rsid w:val="00D07C76"/>
    <w:rsid w:val="00D1013F"/>
    <w:rsid w:val="00D103FE"/>
    <w:rsid w:val="00D10F9F"/>
    <w:rsid w:val="00D157D8"/>
    <w:rsid w:val="00D15E71"/>
    <w:rsid w:val="00D1694A"/>
    <w:rsid w:val="00D172FE"/>
    <w:rsid w:val="00D23CAE"/>
    <w:rsid w:val="00D23CFD"/>
    <w:rsid w:val="00D273E2"/>
    <w:rsid w:val="00D303FA"/>
    <w:rsid w:val="00D31188"/>
    <w:rsid w:val="00D32598"/>
    <w:rsid w:val="00D33A37"/>
    <w:rsid w:val="00D36B38"/>
    <w:rsid w:val="00D37032"/>
    <w:rsid w:val="00D401B4"/>
    <w:rsid w:val="00D44E1D"/>
    <w:rsid w:val="00D47E59"/>
    <w:rsid w:val="00D50DAD"/>
    <w:rsid w:val="00D54DD0"/>
    <w:rsid w:val="00D61B51"/>
    <w:rsid w:val="00D62B96"/>
    <w:rsid w:val="00D62EF6"/>
    <w:rsid w:val="00D6313A"/>
    <w:rsid w:val="00D63B4F"/>
    <w:rsid w:val="00D65BC0"/>
    <w:rsid w:val="00D66714"/>
    <w:rsid w:val="00D701AD"/>
    <w:rsid w:val="00D71608"/>
    <w:rsid w:val="00D72FC5"/>
    <w:rsid w:val="00D756D0"/>
    <w:rsid w:val="00D76718"/>
    <w:rsid w:val="00D7690B"/>
    <w:rsid w:val="00D80491"/>
    <w:rsid w:val="00D812A3"/>
    <w:rsid w:val="00D81DCD"/>
    <w:rsid w:val="00D8300B"/>
    <w:rsid w:val="00D85B0A"/>
    <w:rsid w:val="00D8627D"/>
    <w:rsid w:val="00D87A69"/>
    <w:rsid w:val="00D907FD"/>
    <w:rsid w:val="00D908CE"/>
    <w:rsid w:val="00D909DC"/>
    <w:rsid w:val="00D9157F"/>
    <w:rsid w:val="00D91B84"/>
    <w:rsid w:val="00D94F0B"/>
    <w:rsid w:val="00D966F3"/>
    <w:rsid w:val="00DA002A"/>
    <w:rsid w:val="00DA059A"/>
    <w:rsid w:val="00DA05A7"/>
    <w:rsid w:val="00DA2AAA"/>
    <w:rsid w:val="00DA41F5"/>
    <w:rsid w:val="00DA53AF"/>
    <w:rsid w:val="00DA56A7"/>
    <w:rsid w:val="00DA79DB"/>
    <w:rsid w:val="00DB1B1D"/>
    <w:rsid w:val="00DB252E"/>
    <w:rsid w:val="00DB4E27"/>
    <w:rsid w:val="00DB71EB"/>
    <w:rsid w:val="00DB785F"/>
    <w:rsid w:val="00DC2833"/>
    <w:rsid w:val="00DC3C9B"/>
    <w:rsid w:val="00DC5627"/>
    <w:rsid w:val="00DC6613"/>
    <w:rsid w:val="00DD0201"/>
    <w:rsid w:val="00DD1D6C"/>
    <w:rsid w:val="00DD3A56"/>
    <w:rsid w:val="00DD3EB7"/>
    <w:rsid w:val="00DD4227"/>
    <w:rsid w:val="00DE043C"/>
    <w:rsid w:val="00DE3472"/>
    <w:rsid w:val="00DE3BDA"/>
    <w:rsid w:val="00DE3D4B"/>
    <w:rsid w:val="00DE3D60"/>
    <w:rsid w:val="00DE5E41"/>
    <w:rsid w:val="00DE5FEF"/>
    <w:rsid w:val="00DE717E"/>
    <w:rsid w:val="00DE7613"/>
    <w:rsid w:val="00DF1CC5"/>
    <w:rsid w:val="00DF2809"/>
    <w:rsid w:val="00DF37C6"/>
    <w:rsid w:val="00DF44FE"/>
    <w:rsid w:val="00DF4504"/>
    <w:rsid w:val="00DF6852"/>
    <w:rsid w:val="00DF7523"/>
    <w:rsid w:val="00E0004D"/>
    <w:rsid w:val="00E00DB9"/>
    <w:rsid w:val="00E02E38"/>
    <w:rsid w:val="00E036B6"/>
    <w:rsid w:val="00E06DE6"/>
    <w:rsid w:val="00E11AC6"/>
    <w:rsid w:val="00E13605"/>
    <w:rsid w:val="00E14E29"/>
    <w:rsid w:val="00E16CD1"/>
    <w:rsid w:val="00E175D9"/>
    <w:rsid w:val="00E20A91"/>
    <w:rsid w:val="00E20C1C"/>
    <w:rsid w:val="00E2186D"/>
    <w:rsid w:val="00E24E83"/>
    <w:rsid w:val="00E30829"/>
    <w:rsid w:val="00E30E5A"/>
    <w:rsid w:val="00E32D09"/>
    <w:rsid w:val="00E35070"/>
    <w:rsid w:val="00E4225D"/>
    <w:rsid w:val="00E42FD3"/>
    <w:rsid w:val="00E430F8"/>
    <w:rsid w:val="00E44C86"/>
    <w:rsid w:val="00E45958"/>
    <w:rsid w:val="00E459DD"/>
    <w:rsid w:val="00E534E0"/>
    <w:rsid w:val="00E56D08"/>
    <w:rsid w:val="00E61CA5"/>
    <w:rsid w:val="00E62B47"/>
    <w:rsid w:val="00E63140"/>
    <w:rsid w:val="00E6362D"/>
    <w:rsid w:val="00E64A63"/>
    <w:rsid w:val="00E66BBE"/>
    <w:rsid w:val="00E66F6C"/>
    <w:rsid w:val="00E676D4"/>
    <w:rsid w:val="00E70A31"/>
    <w:rsid w:val="00E70D57"/>
    <w:rsid w:val="00E719B2"/>
    <w:rsid w:val="00E71CF2"/>
    <w:rsid w:val="00E72645"/>
    <w:rsid w:val="00E72FC5"/>
    <w:rsid w:val="00E7410F"/>
    <w:rsid w:val="00E74210"/>
    <w:rsid w:val="00E74BAF"/>
    <w:rsid w:val="00E75B74"/>
    <w:rsid w:val="00E76636"/>
    <w:rsid w:val="00E80073"/>
    <w:rsid w:val="00E907B9"/>
    <w:rsid w:val="00E93136"/>
    <w:rsid w:val="00E96DF9"/>
    <w:rsid w:val="00EA0611"/>
    <w:rsid w:val="00EA1659"/>
    <w:rsid w:val="00EA2275"/>
    <w:rsid w:val="00EA240F"/>
    <w:rsid w:val="00EA450D"/>
    <w:rsid w:val="00EA478C"/>
    <w:rsid w:val="00EA56B0"/>
    <w:rsid w:val="00EA5AC3"/>
    <w:rsid w:val="00EB3B0B"/>
    <w:rsid w:val="00EC2BCA"/>
    <w:rsid w:val="00EC331D"/>
    <w:rsid w:val="00EC393E"/>
    <w:rsid w:val="00EC42D0"/>
    <w:rsid w:val="00EC5426"/>
    <w:rsid w:val="00EC7C07"/>
    <w:rsid w:val="00ED4747"/>
    <w:rsid w:val="00ED6FA9"/>
    <w:rsid w:val="00EE18D9"/>
    <w:rsid w:val="00EE1CC6"/>
    <w:rsid w:val="00EE372A"/>
    <w:rsid w:val="00EE3A19"/>
    <w:rsid w:val="00EE3B9D"/>
    <w:rsid w:val="00EE4626"/>
    <w:rsid w:val="00EE4A2D"/>
    <w:rsid w:val="00EE6353"/>
    <w:rsid w:val="00EE6FF5"/>
    <w:rsid w:val="00EE7B05"/>
    <w:rsid w:val="00EF361B"/>
    <w:rsid w:val="00EF7AA2"/>
    <w:rsid w:val="00EF7CF0"/>
    <w:rsid w:val="00F04BE5"/>
    <w:rsid w:val="00F04FF6"/>
    <w:rsid w:val="00F068EA"/>
    <w:rsid w:val="00F07E27"/>
    <w:rsid w:val="00F10AA9"/>
    <w:rsid w:val="00F11064"/>
    <w:rsid w:val="00F123E9"/>
    <w:rsid w:val="00F13A10"/>
    <w:rsid w:val="00F14D07"/>
    <w:rsid w:val="00F1504F"/>
    <w:rsid w:val="00F20619"/>
    <w:rsid w:val="00F219E6"/>
    <w:rsid w:val="00F24F14"/>
    <w:rsid w:val="00F311B0"/>
    <w:rsid w:val="00F313DA"/>
    <w:rsid w:val="00F315C7"/>
    <w:rsid w:val="00F33189"/>
    <w:rsid w:val="00F347D5"/>
    <w:rsid w:val="00F357AF"/>
    <w:rsid w:val="00F36797"/>
    <w:rsid w:val="00F36BDC"/>
    <w:rsid w:val="00F36EF6"/>
    <w:rsid w:val="00F42A8A"/>
    <w:rsid w:val="00F42C63"/>
    <w:rsid w:val="00F43C75"/>
    <w:rsid w:val="00F5500E"/>
    <w:rsid w:val="00F55ABC"/>
    <w:rsid w:val="00F55C8C"/>
    <w:rsid w:val="00F57A9B"/>
    <w:rsid w:val="00F6223E"/>
    <w:rsid w:val="00F6376B"/>
    <w:rsid w:val="00F638EA"/>
    <w:rsid w:val="00F6481C"/>
    <w:rsid w:val="00F71DB2"/>
    <w:rsid w:val="00F73123"/>
    <w:rsid w:val="00F74BA5"/>
    <w:rsid w:val="00F76213"/>
    <w:rsid w:val="00F80756"/>
    <w:rsid w:val="00F80795"/>
    <w:rsid w:val="00F8163C"/>
    <w:rsid w:val="00F84189"/>
    <w:rsid w:val="00F90D8B"/>
    <w:rsid w:val="00F91698"/>
    <w:rsid w:val="00F928B4"/>
    <w:rsid w:val="00F933A1"/>
    <w:rsid w:val="00F94A12"/>
    <w:rsid w:val="00F976F5"/>
    <w:rsid w:val="00FA0A8E"/>
    <w:rsid w:val="00FA0B68"/>
    <w:rsid w:val="00FA0EC9"/>
    <w:rsid w:val="00FA1A55"/>
    <w:rsid w:val="00FA47CB"/>
    <w:rsid w:val="00FA72CD"/>
    <w:rsid w:val="00FA72F7"/>
    <w:rsid w:val="00FB0AC1"/>
    <w:rsid w:val="00FB0D9C"/>
    <w:rsid w:val="00FB27CE"/>
    <w:rsid w:val="00FB2AB2"/>
    <w:rsid w:val="00FC60D5"/>
    <w:rsid w:val="00FC665F"/>
    <w:rsid w:val="00FC6831"/>
    <w:rsid w:val="00FD04A9"/>
    <w:rsid w:val="00FD1826"/>
    <w:rsid w:val="00FD3FA3"/>
    <w:rsid w:val="00FD4773"/>
    <w:rsid w:val="00FD4FDA"/>
    <w:rsid w:val="00FE16C3"/>
    <w:rsid w:val="00FE1B56"/>
    <w:rsid w:val="00FE327F"/>
    <w:rsid w:val="00FE458B"/>
    <w:rsid w:val="00FE5531"/>
    <w:rsid w:val="00FE65B6"/>
    <w:rsid w:val="00FE68A1"/>
    <w:rsid w:val="00FE6A4C"/>
    <w:rsid w:val="00FE6C55"/>
    <w:rsid w:val="00FE7642"/>
    <w:rsid w:val="00FE7ACE"/>
    <w:rsid w:val="00FF0661"/>
    <w:rsid w:val="00FF0C97"/>
    <w:rsid w:val="00FF18C6"/>
    <w:rsid w:val="00FF2F2B"/>
    <w:rsid w:val="00FF4399"/>
    <w:rsid w:val="00FF48A7"/>
    <w:rsid w:val="00FF54E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32D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444</Words>
  <Characters>2448</Characters>
  <Application>Microsoft Office Word</Application>
  <DocSecurity>0</DocSecurity>
  <Lines>20</Lines>
  <Paragraphs>5</Paragraphs>
  <ScaleCrop>false</ScaleCrop>
  <Company>Acer</Company>
  <LinksUpToDate>false</LinksUpToDate>
  <CharactersWithSpaces>2887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Acer Customer</dc:creator>
  <cp:keywords/>
  <dc:description/>
  <cp:lastModifiedBy>Valued Acer Customer</cp:lastModifiedBy>
  <cp:revision>1</cp:revision>
  <dcterms:created xsi:type="dcterms:W3CDTF">2012-05-13T00:40:00Z</dcterms:created>
  <dcterms:modified xsi:type="dcterms:W3CDTF">2012-05-13T00:42:00Z</dcterms:modified>
</cp:coreProperties>
</file>