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715A" w:rsidRDefault="00B1715A" w:rsidP="00B1715A">
      <w:pPr>
        <w:pStyle w:val="Default"/>
        <w:jc w:val="both"/>
        <w:rPr>
          <w:rFonts w:asciiTheme="majorBidi" w:hAnsiTheme="majorBidi" w:cstheme="majorBidi"/>
          <w:b/>
          <w:bCs/>
          <w:color w:val="auto"/>
        </w:rPr>
      </w:pPr>
      <w:r>
        <w:rPr>
          <w:rFonts w:asciiTheme="majorBidi" w:hAnsiTheme="majorBidi" w:cstheme="majorBidi"/>
          <w:b/>
          <w:bCs/>
          <w:color w:val="auto"/>
        </w:rPr>
        <w:t>Résumé </w:t>
      </w:r>
      <w:r w:rsidR="00113DFF">
        <w:rPr>
          <w:rFonts w:asciiTheme="majorBidi" w:hAnsiTheme="majorBidi" w:cstheme="majorBidi"/>
          <w:b/>
          <w:bCs/>
          <w:color w:val="auto"/>
        </w:rPr>
        <w:t xml:space="preserve">du résumé </w:t>
      </w:r>
      <w:r>
        <w:rPr>
          <w:rFonts w:asciiTheme="majorBidi" w:hAnsiTheme="majorBidi" w:cstheme="majorBidi"/>
          <w:b/>
          <w:bCs/>
          <w:color w:val="auto"/>
        </w:rPr>
        <w:t>:</w:t>
      </w:r>
    </w:p>
    <w:p w:rsidR="00B1715A" w:rsidRDefault="00B1715A" w:rsidP="00B1715A">
      <w:pPr>
        <w:pStyle w:val="Default"/>
        <w:jc w:val="both"/>
        <w:rPr>
          <w:rFonts w:asciiTheme="majorBidi" w:hAnsiTheme="majorBidi" w:cstheme="majorBidi"/>
          <w:b/>
          <w:bCs/>
          <w:color w:val="auto"/>
        </w:rPr>
      </w:pPr>
    </w:p>
    <w:p w:rsidR="00C12BB0" w:rsidRPr="00C12BB0" w:rsidRDefault="00B1715A" w:rsidP="00C12BB0">
      <w:pPr>
        <w:pStyle w:val="Default"/>
        <w:jc w:val="both"/>
        <w:rPr>
          <w:rFonts w:asciiTheme="majorBidi" w:hAnsiTheme="majorBidi" w:cstheme="majorBidi"/>
          <w:color w:val="auto"/>
        </w:rPr>
      </w:pPr>
      <w:r>
        <w:rPr>
          <w:rFonts w:asciiTheme="majorBidi" w:hAnsiTheme="majorBidi" w:cstheme="majorBidi"/>
          <w:color w:val="auto"/>
        </w:rPr>
        <w:t>Ce travail vise à étudier des équilibres liquide</w:t>
      </w:r>
      <w:r w:rsidR="00C12BB0">
        <w:rPr>
          <w:rFonts w:asciiTheme="majorBidi" w:hAnsiTheme="majorBidi" w:cstheme="majorBidi"/>
          <w:color w:val="auto"/>
        </w:rPr>
        <w:t>-solide (ELS)</w:t>
      </w:r>
      <w:r>
        <w:rPr>
          <w:rFonts w:asciiTheme="majorBidi" w:hAnsiTheme="majorBidi" w:cstheme="majorBidi"/>
          <w:color w:val="auto"/>
        </w:rPr>
        <w:t xml:space="preserve"> de mélanges binaires et ternaires constitués d’alcanes lourds linéaires et d’aromatiques polycycliques, et à utiliser les données expérimentales obtenues pour évaluer les performances de modèles de contribution de groupe, tels DISQUAC et UNIFAC. </w:t>
      </w:r>
      <w:r w:rsidR="00C12BB0">
        <w:rPr>
          <w:rFonts w:asciiTheme="majorBidi" w:hAnsiTheme="majorBidi" w:cstheme="majorBidi"/>
          <w:color w:val="auto"/>
        </w:rPr>
        <w:t xml:space="preserve">Une </w:t>
      </w:r>
      <w:r>
        <w:rPr>
          <w:rFonts w:asciiTheme="majorBidi" w:hAnsiTheme="majorBidi" w:cstheme="majorBidi"/>
          <w:color w:val="auto"/>
        </w:rPr>
        <w:t>série de mesures de solubilité des systèmes ternaires et de leu</w:t>
      </w:r>
      <w:r w:rsidR="00C12BB0">
        <w:rPr>
          <w:rFonts w:asciiTheme="majorBidi" w:hAnsiTheme="majorBidi" w:cstheme="majorBidi"/>
          <w:color w:val="auto"/>
        </w:rPr>
        <w:t>rs binaires respectifs suivants a été effectuée</w:t>
      </w:r>
      <w:r>
        <w:rPr>
          <w:rFonts w:asciiTheme="majorBidi" w:hAnsiTheme="majorBidi" w:cstheme="majorBidi"/>
          <w:color w:val="auto"/>
        </w:rPr>
        <w:t xml:space="preserve"> par </w:t>
      </w:r>
      <w:r>
        <w:rPr>
          <w:color w:val="auto"/>
        </w:rPr>
        <w:t xml:space="preserve">un </w:t>
      </w:r>
      <w:r>
        <w:rPr>
          <w:rFonts w:asciiTheme="majorBidi" w:hAnsiTheme="majorBidi" w:cstheme="majorBidi"/>
          <w:color w:val="auto"/>
        </w:rPr>
        <w:t>calorimètre différentiel à balayage (DSC): l’</w:t>
      </w:r>
      <w:proofErr w:type="spellStart"/>
      <w:r>
        <w:rPr>
          <w:rFonts w:asciiTheme="majorBidi" w:hAnsiTheme="majorBidi" w:cstheme="majorBidi"/>
          <w:color w:val="auto"/>
        </w:rPr>
        <w:t>eicosane</w:t>
      </w:r>
      <w:proofErr w:type="spellEnd"/>
      <w:r>
        <w:rPr>
          <w:rFonts w:asciiTheme="majorBidi" w:hAnsiTheme="majorBidi" w:cstheme="majorBidi"/>
          <w:color w:val="auto"/>
        </w:rPr>
        <w:t xml:space="preserve">, le docosane, le </w:t>
      </w:r>
      <w:proofErr w:type="spellStart"/>
      <w:r>
        <w:rPr>
          <w:rFonts w:asciiTheme="majorBidi" w:hAnsiTheme="majorBidi" w:cstheme="majorBidi"/>
          <w:color w:val="auto"/>
        </w:rPr>
        <w:t>tetracosane</w:t>
      </w:r>
      <w:proofErr w:type="spellEnd"/>
      <w:r>
        <w:rPr>
          <w:rFonts w:asciiTheme="majorBidi" w:hAnsiTheme="majorBidi" w:cstheme="majorBidi"/>
          <w:color w:val="auto"/>
        </w:rPr>
        <w:t>, l’hexacosane ou l’octacosane + le dibenzofurane et le biphenyl. Les donné de solubilité sont utilisées par la suite pour l’établissement des diagrammes d’équilibre solide-liquide.</w:t>
      </w:r>
      <w:r w:rsidR="00C12BB0">
        <w:rPr>
          <w:rFonts w:asciiTheme="majorBidi" w:hAnsiTheme="majorBidi" w:cstheme="majorBidi"/>
          <w:color w:val="auto"/>
        </w:rPr>
        <w:t xml:space="preserve"> </w:t>
      </w:r>
      <w:r w:rsidR="00C12BB0">
        <w:rPr>
          <w:color w:val="auto"/>
        </w:rPr>
        <w:t>Les diagrammes d’ELS binaires et ternaires sont à eutectique simple.</w:t>
      </w:r>
      <w:r w:rsidR="00C12BB0">
        <w:rPr>
          <w:rFonts w:asciiTheme="majorBidi" w:hAnsiTheme="majorBidi" w:cstheme="majorBidi"/>
          <w:color w:val="auto"/>
        </w:rPr>
        <w:t xml:space="preserve"> Le modèle DISQUAC est plus performant qu’UNIFAC.</w:t>
      </w:r>
    </w:p>
    <w:p w:rsidR="00B1715A" w:rsidRDefault="00B1715A" w:rsidP="00C12BB0">
      <w:pPr>
        <w:pStyle w:val="Default"/>
        <w:ind w:firstLine="708"/>
        <w:jc w:val="both"/>
        <w:rPr>
          <w:color w:val="auto"/>
        </w:rPr>
      </w:pPr>
    </w:p>
    <w:p w:rsidR="00C12BB0" w:rsidRDefault="00C12BB0" w:rsidP="00C12BB0">
      <w:pPr>
        <w:pStyle w:val="Default"/>
        <w:jc w:val="both"/>
        <w:rPr>
          <w:rFonts w:asciiTheme="majorBidi" w:hAnsiTheme="majorBidi" w:cstheme="majorBidi"/>
          <w:b/>
          <w:bCs/>
          <w:color w:val="auto"/>
        </w:rPr>
      </w:pPr>
      <w:r>
        <w:rPr>
          <w:rFonts w:asciiTheme="majorBidi" w:hAnsiTheme="majorBidi" w:cstheme="majorBidi"/>
          <w:b/>
          <w:bCs/>
          <w:color w:val="auto"/>
        </w:rPr>
        <w:t>Mots clés:</w:t>
      </w:r>
    </w:p>
    <w:p w:rsidR="00C12BB0" w:rsidRDefault="00C12BB0" w:rsidP="00C12BB0">
      <w:pPr>
        <w:pStyle w:val="Default"/>
        <w:jc w:val="both"/>
        <w:rPr>
          <w:rFonts w:asciiTheme="majorBidi" w:hAnsiTheme="majorBidi" w:cstheme="majorBidi"/>
          <w:color w:val="auto"/>
        </w:rPr>
      </w:pPr>
    </w:p>
    <w:p w:rsidR="00C12BB0" w:rsidRDefault="00C12BB0" w:rsidP="00B40383">
      <w:pPr>
        <w:pStyle w:val="Default"/>
        <w:jc w:val="both"/>
        <w:rPr>
          <w:rFonts w:asciiTheme="majorBidi" w:hAnsiTheme="majorBidi" w:cstheme="majorBidi"/>
          <w:b/>
          <w:bCs/>
          <w:color w:val="auto"/>
        </w:rPr>
      </w:pPr>
      <w:r>
        <w:rPr>
          <w:rFonts w:asciiTheme="majorBidi" w:hAnsiTheme="majorBidi" w:cstheme="majorBidi"/>
          <w:color w:val="auto"/>
        </w:rPr>
        <w:t>Equilibres liquide-solide</w:t>
      </w:r>
      <w:r w:rsidR="00B40383">
        <w:rPr>
          <w:rFonts w:asciiTheme="majorBidi" w:hAnsiTheme="majorBidi" w:cstheme="majorBidi"/>
          <w:color w:val="auto"/>
        </w:rPr>
        <w:t>,</w:t>
      </w:r>
      <w:r>
        <w:rPr>
          <w:rFonts w:asciiTheme="majorBidi" w:hAnsiTheme="majorBidi" w:cstheme="majorBidi"/>
          <w:color w:val="auto"/>
        </w:rPr>
        <w:t xml:space="preserve"> binaires</w:t>
      </w:r>
      <w:r w:rsidR="00B40383">
        <w:rPr>
          <w:rFonts w:asciiTheme="majorBidi" w:hAnsiTheme="majorBidi" w:cstheme="majorBidi"/>
          <w:color w:val="auto"/>
        </w:rPr>
        <w:t xml:space="preserve">, </w:t>
      </w:r>
      <w:r>
        <w:rPr>
          <w:rFonts w:asciiTheme="majorBidi" w:hAnsiTheme="majorBidi" w:cstheme="majorBidi"/>
          <w:color w:val="auto"/>
        </w:rPr>
        <w:t>ternaires</w:t>
      </w:r>
      <w:r w:rsidR="00B40383">
        <w:rPr>
          <w:rFonts w:asciiTheme="majorBidi" w:hAnsiTheme="majorBidi" w:cstheme="majorBidi"/>
          <w:color w:val="auto"/>
        </w:rPr>
        <w:t>, n-</w:t>
      </w:r>
      <w:r>
        <w:rPr>
          <w:rFonts w:asciiTheme="majorBidi" w:hAnsiTheme="majorBidi" w:cstheme="majorBidi"/>
          <w:color w:val="auto"/>
        </w:rPr>
        <w:t>alcanes</w:t>
      </w:r>
      <w:r w:rsidR="00B40383">
        <w:rPr>
          <w:rFonts w:asciiTheme="majorBidi" w:hAnsiTheme="majorBidi" w:cstheme="majorBidi"/>
          <w:color w:val="auto"/>
        </w:rPr>
        <w:t xml:space="preserve">, </w:t>
      </w:r>
      <w:r>
        <w:rPr>
          <w:rFonts w:asciiTheme="majorBidi" w:hAnsiTheme="majorBidi" w:cstheme="majorBidi"/>
          <w:color w:val="auto"/>
        </w:rPr>
        <w:t>aromatiques polycycliques, modèles de contribution de groupe, DISQUAC</w:t>
      </w:r>
      <w:r w:rsidR="00B40383">
        <w:rPr>
          <w:rFonts w:asciiTheme="majorBidi" w:hAnsiTheme="majorBidi" w:cstheme="majorBidi"/>
          <w:color w:val="auto"/>
        </w:rPr>
        <w:t>,</w:t>
      </w:r>
      <w:r>
        <w:rPr>
          <w:rFonts w:asciiTheme="majorBidi" w:hAnsiTheme="majorBidi" w:cstheme="majorBidi"/>
          <w:color w:val="auto"/>
        </w:rPr>
        <w:t xml:space="preserve"> UNIFAC.</w:t>
      </w:r>
    </w:p>
    <w:p w:rsidR="00C12BB0" w:rsidRPr="00C12BB0" w:rsidRDefault="00C12BB0" w:rsidP="00C12BB0">
      <w:pPr>
        <w:pStyle w:val="Default"/>
        <w:jc w:val="both"/>
        <w:rPr>
          <w:rFonts w:asciiTheme="majorBidi" w:hAnsiTheme="majorBidi" w:cstheme="majorBidi"/>
          <w:color w:val="auto"/>
        </w:rPr>
      </w:pPr>
    </w:p>
    <w:sectPr w:rsidR="00C12BB0" w:rsidRPr="00C12BB0" w:rsidSect="00181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B1715A"/>
    <w:rsid w:val="00113DFF"/>
    <w:rsid w:val="00181D03"/>
    <w:rsid w:val="001C5B04"/>
    <w:rsid w:val="00307D69"/>
    <w:rsid w:val="005174C0"/>
    <w:rsid w:val="00566ACE"/>
    <w:rsid w:val="00615201"/>
    <w:rsid w:val="006B239C"/>
    <w:rsid w:val="00737328"/>
    <w:rsid w:val="008C2728"/>
    <w:rsid w:val="00992EEC"/>
    <w:rsid w:val="00A33F77"/>
    <w:rsid w:val="00A960A5"/>
    <w:rsid w:val="00B1715A"/>
    <w:rsid w:val="00B40383"/>
    <w:rsid w:val="00B9613A"/>
    <w:rsid w:val="00C12BB0"/>
    <w:rsid w:val="00C85ED8"/>
    <w:rsid w:val="00CE5720"/>
    <w:rsid w:val="00D623CF"/>
    <w:rsid w:val="00DD05D0"/>
    <w:rsid w:val="00E47BD7"/>
    <w:rsid w:val="00E638A9"/>
    <w:rsid w:val="00FA61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D69"/>
    <w:pPr>
      <w:tabs>
        <w:tab w:val="left" w:pos="0"/>
        <w:tab w:val="left" w:pos="328"/>
        <w:tab w:val="left" w:pos="90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190"/>
      </w:tabs>
      <w:jc w:val="both"/>
    </w:pPr>
    <w:rPr>
      <w:rFonts w:asciiTheme="majorBidi" w:hAnsiTheme="majorBidi" w:cstheme="majorBidi"/>
      <w:sz w:val="20"/>
      <w:szCs w:val="20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307D69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307D69"/>
    <w:pPr>
      <w:ind w:left="720"/>
      <w:contextualSpacing/>
    </w:pPr>
  </w:style>
  <w:style w:type="paragraph" w:customStyle="1" w:styleId="Default">
    <w:name w:val="Default"/>
    <w:rsid w:val="00B171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59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151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2015-02-07T10:43:00Z</dcterms:created>
  <dcterms:modified xsi:type="dcterms:W3CDTF">2015-02-07T10:58:00Z</dcterms:modified>
</cp:coreProperties>
</file>