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D05DC" w:rsidRPr="00862B33" w:rsidRDefault="00DD05DC" w:rsidP="00DD05DC">
      <w:pPr>
        <w:spacing w:line="360" w:lineRule="auto"/>
        <w:jc w:val="center"/>
        <w:rPr>
          <w:b/>
          <w:bCs/>
          <w:sz w:val="32"/>
          <w:szCs w:val="32"/>
        </w:rPr>
      </w:pPr>
      <w:r w:rsidRPr="00862B33">
        <w:rPr>
          <w:b/>
          <w:bCs/>
          <w:sz w:val="32"/>
          <w:szCs w:val="32"/>
        </w:rPr>
        <w:t>Résumé</w:t>
      </w:r>
    </w:p>
    <w:p w:rsidR="00DD05DC" w:rsidRPr="00023FB2" w:rsidRDefault="00DD05DC" w:rsidP="00AB42DD">
      <w:pPr>
        <w:jc w:val="both"/>
        <w:rPr>
          <w:sz w:val="22"/>
          <w:szCs w:val="22"/>
        </w:rPr>
      </w:pPr>
      <w:r w:rsidRPr="00B373A8">
        <w:rPr>
          <w:sz w:val="22"/>
          <w:szCs w:val="22"/>
        </w:rPr>
        <w:t>L’étude menée sur 240 sujets hommes et femmes en surpoids (S</w:t>
      </w:r>
      <w:r>
        <w:rPr>
          <w:sz w:val="22"/>
          <w:szCs w:val="22"/>
        </w:rPr>
        <w:t>pd</w:t>
      </w:r>
      <w:r w:rsidRPr="00B373A8">
        <w:rPr>
          <w:sz w:val="22"/>
          <w:szCs w:val="22"/>
        </w:rPr>
        <w:t>), obèses (O</w:t>
      </w:r>
      <w:r>
        <w:rPr>
          <w:sz w:val="22"/>
          <w:szCs w:val="22"/>
        </w:rPr>
        <w:t>b</w:t>
      </w:r>
      <w:r w:rsidRPr="00B373A8">
        <w:rPr>
          <w:sz w:val="22"/>
          <w:szCs w:val="22"/>
        </w:rPr>
        <w:t>)</w:t>
      </w:r>
      <w:r>
        <w:rPr>
          <w:sz w:val="22"/>
          <w:szCs w:val="22"/>
        </w:rPr>
        <w:t>, témoins</w:t>
      </w:r>
      <w:r w:rsidRPr="00B373A8">
        <w:rPr>
          <w:sz w:val="22"/>
          <w:szCs w:val="22"/>
        </w:rPr>
        <w:t xml:space="preserve"> et diabétiques de type 2 (DT2)</w:t>
      </w:r>
      <w:r>
        <w:rPr>
          <w:sz w:val="22"/>
          <w:szCs w:val="22"/>
        </w:rPr>
        <w:t>,</w:t>
      </w:r>
      <w:r w:rsidRPr="00B373A8">
        <w:rPr>
          <w:sz w:val="22"/>
          <w:szCs w:val="22"/>
        </w:rPr>
        <w:t xml:space="preserve"> dont l’âge </w:t>
      </w:r>
      <w:r>
        <w:rPr>
          <w:sz w:val="22"/>
          <w:szCs w:val="22"/>
        </w:rPr>
        <w:t>varie</w:t>
      </w:r>
      <w:r w:rsidRPr="00B373A8">
        <w:rPr>
          <w:sz w:val="22"/>
          <w:szCs w:val="22"/>
        </w:rPr>
        <w:t xml:space="preserve"> entre </w:t>
      </w:r>
      <w:r>
        <w:rPr>
          <w:sz w:val="22"/>
          <w:szCs w:val="22"/>
        </w:rPr>
        <w:t>3</w:t>
      </w:r>
      <w:r w:rsidRPr="00B373A8">
        <w:rPr>
          <w:sz w:val="22"/>
          <w:szCs w:val="22"/>
        </w:rPr>
        <w:t>2</w:t>
      </w:r>
      <w:r>
        <w:rPr>
          <w:sz w:val="22"/>
          <w:szCs w:val="22"/>
        </w:rPr>
        <w:t xml:space="preserve"> et 49</w:t>
      </w:r>
      <w:r w:rsidRPr="00B373A8">
        <w:rPr>
          <w:bCs/>
          <w:sz w:val="22"/>
          <w:szCs w:val="22"/>
        </w:rPr>
        <w:t xml:space="preserve"> ans</w:t>
      </w:r>
      <w:r w:rsidRPr="00B373A8">
        <w:rPr>
          <w:sz w:val="22"/>
          <w:szCs w:val="22"/>
        </w:rPr>
        <w:t xml:space="preserve">, a révélé que les principaux </w:t>
      </w:r>
      <w:r w:rsidR="00F930AD">
        <w:rPr>
          <w:sz w:val="22"/>
          <w:szCs w:val="22"/>
        </w:rPr>
        <w:t>t</w:t>
      </w:r>
      <w:r w:rsidRPr="00B373A8">
        <w:rPr>
          <w:bCs/>
          <w:sz w:val="22"/>
          <w:szCs w:val="22"/>
        </w:rPr>
        <w:t>roubles du comportement alimentaire</w:t>
      </w:r>
      <w:r w:rsidRPr="00B373A8">
        <w:rPr>
          <w:sz w:val="22"/>
          <w:szCs w:val="22"/>
        </w:rPr>
        <w:t xml:space="preserve"> retrouvés </w:t>
      </w:r>
      <w:r w:rsidR="00245249">
        <w:rPr>
          <w:sz w:val="22"/>
          <w:szCs w:val="22"/>
        </w:rPr>
        <w:t>chez les sujets en Spd, Ob et DT</w:t>
      </w:r>
      <w:r w:rsidR="0074253F">
        <w:rPr>
          <w:sz w:val="22"/>
          <w:szCs w:val="22"/>
        </w:rPr>
        <w:t>2</w:t>
      </w:r>
      <w:r w:rsidR="00245249">
        <w:rPr>
          <w:sz w:val="22"/>
          <w:szCs w:val="22"/>
        </w:rPr>
        <w:t xml:space="preserve"> </w:t>
      </w:r>
      <w:r>
        <w:rPr>
          <w:sz w:val="22"/>
          <w:szCs w:val="22"/>
        </w:rPr>
        <w:t>sont</w:t>
      </w:r>
      <w:r w:rsidRPr="00023FB2">
        <w:rPr>
          <w:sz w:val="22"/>
          <w:szCs w:val="22"/>
        </w:rPr>
        <w:t xml:space="preserve"> de type hyperphagique, exprimés par une forte </w:t>
      </w:r>
      <w:proofErr w:type="spellStart"/>
      <w:r w:rsidRPr="00023FB2">
        <w:rPr>
          <w:iCs/>
          <w:sz w:val="22"/>
          <w:szCs w:val="22"/>
        </w:rPr>
        <w:t>désinhibition</w:t>
      </w:r>
      <w:proofErr w:type="spellEnd"/>
      <w:r w:rsidRPr="00023FB2">
        <w:rPr>
          <w:iCs/>
          <w:sz w:val="22"/>
          <w:szCs w:val="22"/>
        </w:rPr>
        <w:t xml:space="preserve">. </w:t>
      </w:r>
      <w:r w:rsidRPr="00023FB2">
        <w:rPr>
          <w:sz w:val="22"/>
          <w:szCs w:val="22"/>
        </w:rPr>
        <w:t xml:space="preserve">L’expansion de la masse grasse corporelle (MGC) est corrélée à un ensemble de troubles métaboliques qui altèrent l’homéostasie énergétique. </w:t>
      </w:r>
      <w:r w:rsidR="008D2CE2">
        <w:rPr>
          <w:sz w:val="22"/>
          <w:szCs w:val="22"/>
        </w:rPr>
        <w:t>L</w:t>
      </w:r>
      <w:r w:rsidRPr="00023FB2">
        <w:rPr>
          <w:sz w:val="22"/>
          <w:szCs w:val="22"/>
        </w:rPr>
        <w:t xml:space="preserve">e flux de production des </w:t>
      </w:r>
      <w:proofErr w:type="spellStart"/>
      <w:r w:rsidRPr="00023FB2">
        <w:rPr>
          <w:sz w:val="22"/>
          <w:szCs w:val="22"/>
        </w:rPr>
        <w:t>adipokines</w:t>
      </w:r>
      <w:proofErr w:type="spellEnd"/>
      <w:r w:rsidRPr="00023FB2">
        <w:rPr>
          <w:sz w:val="22"/>
          <w:szCs w:val="22"/>
        </w:rPr>
        <w:t xml:space="preserve"> est influencé par la dynamique du tissu adipeux </w:t>
      </w:r>
      <w:r w:rsidR="00A212A9">
        <w:rPr>
          <w:sz w:val="22"/>
          <w:szCs w:val="22"/>
        </w:rPr>
        <w:t xml:space="preserve">(TA) </w:t>
      </w:r>
      <w:r w:rsidRPr="00023FB2">
        <w:rPr>
          <w:sz w:val="22"/>
          <w:szCs w:val="22"/>
        </w:rPr>
        <w:t>et l’état d’</w:t>
      </w:r>
      <w:proofErr w:type="spellStart"/>
      <w:r w:rsidRPr="00023FB2">
        <w:rPr>
          <w:sz w:val="22"/>
          <w:szCs w:val="22"/>
        </w:rPr>
        <w:t>insulinorésistance</w:t>
      </w:r>
      <w:proofErr w:type="spellEnd"/>
      <w:r w:rsidRPr="00023FB2">
        <w:rPr>
          <w:sz w:val="22"/>
          <w:szCs w:val="22"/>
        </w:rPr>
        <w:t xml:space="preserve">. </w:t>
      </w:r>
      <w:r w:rsidR="00F930AD">
        <w:rPr>
          <w:sz w:val="22"/>
          <w:szCs w:val="22"/>
        </w:rPr>
        <w:t>U</w:t>
      </w:r>
      <w:r w:rsidRPr="00023FB2">
        <w:rPr>
          <w:sz w:val="22"/>
          <w:szCs w:val="22"/>
        </w:rPr>
        <w:t xml:space="preserve">ne adiposité abdominale </w:t>
      </w:r>
      <w:r w:rsidR="00F930AD">
        <w:rPr>
          <w:sz w:val="22"/>
          <w:szCs w:val="22"/>
        </w:rPr>
        <w:t xml:space="preserve">est relevée </w:t>
      </w:r>
      <w:r w:rsidRPr="00023FB2">
        <w:rPr>
          <w:sz w:val="22"/>
          <w:szCs w:val="22"/>
        </w:rPr>
        <w:t xml:space="preserve">chez </w:t>
      </w:r>
      <w:r w:rsidR="00245249">
        <w:rPr>
          <w:sz w:val="22"/>
          <w:szCs w:val="22"/>
        </w:rPr>
        <w:t>l</w:t>
      </w:r>
      <w:r w:rsidRPr="00023FB2">
        <w:rPr>
          <w:sz w:val="22"/>
          <w:szCs w:val="22"/>
        </w:rPr>
        <w:t xml:space="preserve">es sujets </w:t>
      </w:r>
      <w:r w:rsidR="00245249">
        <w:rPr>
          <w:sz w:val="22"/>
          <w:szCs w:val="22"/>
        </w:rPr>
        <w:t xml:space="preserve">en </w:t>
      </w:r>
      <w:r>
        <w:rPr>
          <w:sz w:val="22"/>
          <w:szCs w:val="22"/>
        </w:rPr>
        <w:t>Spd</w:t>
      </w:r>
      <w:r w:rsidRPr="00023FB2">
        <w:rPr>
          <w:sz w:val="22"/>
          <w:szCs w:val="22"/>
        </w:rPr>
        <w:t xml:space="preserve">, </w:t>
      </w:r>
      <w:r w:rsidR="00245249">
        <w:rPr>
          <w:sz w:val="22"/>
          <w:szCs w:val="22"/>
        </w:rPr>
        <w:t>Ob et DT ;</w:t>
      </w:r>
      <w:r w:rsidRPr="00023FB2">
        <w:rPr>
          <w:sz w:val="22"/>
          <w:szCs w:val="22"/>
        </w:rPr>
        <w:t xml:space="preserve"> </w:t>
      </w:r>
      <w:r w:rsidR="00245249">
        <w:rPr>
          <w:sz w:val="22"/>
          <w:szCs w:val="22"/>
        </w:rPr>
        <w:t>l</w:t>
      </w:r>
      <w:r w:rsidRPr="00023FB2">
        <w:rPr>
          <w:bCs/>
          <w:sz w:val="22"/>
          <w:szCs w:val="22"/>
        </w:rPr>
        <w:t>es sujets de</w:t>
      </w:r>
      <w:r>
        <w:rPr>
          <w:bCs/>
          <w:sz w:val="22"/>
          <w:szCs w:val="22"/>
        </w:rPr>
        <w:t>s trois groupes</w:t>
      </w:r>
      <w:r w:rsidRPr="00023FB2">
        <w:rPr>
          <w:bCs/>
          <w:sz w:val="22"/>
          <w:szCs w:val="22"/>
        </w:rPr>
        <w:t xml:space="preserve"> présentent </w:t>
      </w:r>
      <w:r w:rsidR="0074253F">
        <w:rPr>
          <w:bCs/>
          <w:sz w:val="22"/>
          <w:szCs w:val="22"/>
        </w:rPr>
        <w:t xml:space="preserve">un </w:t>
      </w:r>
      <w:r w:rsidRPr="00023FB2">
        <w:rPr>
          <w:bCs/>
          <w:sz w:val="22"/>
          <w:szCs w:val="22"/>
        </w:rPr>
        <w:t xml:space="preserve">hyperinsulinisme </w:t>
      </w:r>
      <w:r w:rsidR="0074253F">
        <w:rPr>
          <w:bCs/>
          <w:sz w:val="22"/>
          <w:szCs w:val="22"/>
        </w:rPr>
        <w:t xml:space="preserve">et une </w:t>
      </w:r>
      <w:proofErr w:type="spellStart"/>
      <w:r w:rsidR="0074253F">
        <w:rPr>
          <w:bCs/>
          <w:sz w:val="22"/>
          <w:szCs w:val="22"/>
        </w:rPr>
        <w:t>insulinorésistance</w:t>
      </w:r>
      <w:proofErr w:type="spellEnd"/>
      <w:r w:rsidR="0074253F">
        <w:rPr>
          <w:bCs/>
          <w:sz w:val="22"/>
          <w:szCs w:val="22"/>
        </w:rPr>
        <w:t xml:space="preserve"> </w:t>
      </w:r>
      <w:r w:rsidRPr="00023FB2">
        <w:rPr>
          <w:bCs/>
          <w:sz w:val="22"/>
          <w:szCs w:val="22"/>
        </w:rPr>
        <w:t>à des degrés variables.</w:t>
      </w:r>
      <w:r w:rsidR="0074253F">
        <w:rPr>
          <w:bCs/>
          <w:sz w:val="22"/>
          <w:szCs w:val="22"/>
        </w:rPr>
        <w:t xml:space="preserve"> Une </w:t>
      </w:r>
      <w:r w:rsidRPr="00023FB2">
        <w:rPr>
          <w:sz w:val="22"/>
          <w:szCs w:val="22"/>
        </w:rPr>
        <w:t xml:space="preserve">dyslipidémie </w:t>
      </w:r>
      <w:r w:rsidR="0074253F" w:rsidRPr="00023FB2">
        <w:rPr>
          <w:sz w:val="22"/>
          <w:szCs w:val="22"/>
        </w:rPr>
        <w:t xml:space="preserve">mixte </w:t>
      </w:r>
      <w:r w:rsidRPr="00023FB2">
        <w:rPr>
          <w:sz w:val="22"/>
          <w:szCs w:val="22"/>
        </w:rPr>
        <w:t xml:space="preserve">est </w:t>
      </w:r>
      <w:r w:rsidR="0074253F" w:rsidRPr="00023FB2">
        <w:rPr>
          <w:sz w:val="22"/>
          <w:szCs w:val="22"/>
        </w:rPr>
        <w:t xml:space="preserve">retrouvée </w:t>
      </w:r>
      <w:r w:rsidRPr="00023FB2">
        <w:rPr>
          <w:sz w:val="22"/>
          <w:szCs w:val="22"/>
        </w:rPr>
        <w:t>(association d’</w:t>
      </w:r>
      <w:proofErr w:type="spellStart"/>
      <w:r w:rsidRPr="00023FB2">
        <w:rPr>
          <w:sz w:val="22"/>
          <w:szCs w:val="22"/>
        </w:rPr>
        <w:t>hypertriglycéridémie</w:t>
      </w:r>
      <w:proofErr w:type="spellEnd"/>
      <w:r w:rsidRPr="00023FB2">
        <w:rPr>
          <w:sz w:val="22"/>
          <w:szCs w:val="22"/>
        </w:rPr>
        <w:t xml:space="preserve"> et d’hypercholestérolémie). Elle touche partiellement les groupes S</w:t>
      </w:r>
      <w:r>
        <w:rPr>
          <w:sz w:val="22"/>
          <w:szCs w:val="22"/>
        </w:rPr>
        <w:t>pd</w:t>
      </w:r>
      <w:r w:rsidRPr="00023FB2">
        <w:rPr>
          <w:sz w:val="22"/>
          <w:szCs w:val="22"/>
        </w:rPr>
        <w:t>, O</w:t>
      </w:r>
      <w:r>
        <w:rPr>
          <w:sz w:val="22"/>
          <w:szCs w:val="22"/>
        </w:rPr>
        <w:t>b</w:t>
      </w:r>
      <w:r w:rsidRPr="00023FB2">
        <w:rPr>
          <w:sz w:val="22"/>
          <w:szCs w:val="22"/>
        </w:rPr>
        <w:t xml:space="preserve"> et D</w:t>
      </w:r>
      <w:r>
        <w:rPr>
          <w:sz w:val="22"/>
          <w:szCs w:val="22"/>
        </w:rPr>
        <w:t>T</w:t>
      </w:r>
      <w:r w:rsidRPr="00023FB2">
        <w:rPr>
          <w:sz w:val="22"/>
          <w:szCs w:val="22"/>
        </w:rPr>
        <w:t>. L’accroissement de la MGC chez les sujets O</w:t>
      </w:r>
      <w:r>
        <w:rPr>
          <w:sz w:val="22"/>
          <w:szCs w:val="22"/>
        </w:rPr>
        <w:t>b</w:t>
      </w:r>
      <w:r w:rsidRPr="00023FB2">
        <w:rPr>
          <w:sz w:val="22"/>
          <w:szCs w:val="22"/>
        </w:rPr>
        <w:t xml:space="preserve"> et S</w:t>
      </w:r>
      <w:r>
        <w:rPr>
          <w:sz w:val="22"/>
          <w:szCs w:val="22"/>
        </w:rPr>
        <w:t>pd</w:t>
      </w:r>
      <w:r w:rsidRPr="00023FB2">
        <w:rPr>
          <w:sz w:val="22"/>
          <w:szCs w:val="22"/>
        </w:rPr>
        <w:t xml:space="preserve"> est corrélé positivement à l’augmentation en leptine</w:t>
      </w:r>
      <w:r w:rsidR="0074253F">
        <w:rPr>
          <w:sz w:val="22"/>
          <w:szCs w:val="22"/>
        </w:rPr>
        <w:t xml:space="preserve"> et à la baisse en </w:t>
      </w:r>
      <w:proofErr w:type="spellStart"/>
      <w:r w:rsidRPr="00023FB2">
        <w:rPr>
          <w:sz w:val="22"/>
          <w:szCs w:val="22"/>
        </w:rPr>
        <w:t>adiponectine</w:t>
      </w:r>
      <w:proofErr w:type="spellEnd"/>
      <w:r w:rsidRPr="00023FB2">
        <w:rPr>
          <w:sz w:val="22"/>
          <w:szCs w:val="22"/>
        </w:rPr>
        <w:t xml:space="preserve">. La sécrétion de la </w:t>
      </w:r>
      <w:proofErr w:type="spellStart"/>
      <w:r w:rsidRPr="00023FB2">
        <w:rPr>
          <w:sz w:val="22"/>
          <w:szCs w:val="22"/>
        </w:rPr>
        <w:t>résistine</w:t>
      </w:r>
      <w:proofErr w:type="spellEnd"/>
      <w:r w:rsidRPr="00023FB2">
        <w:rPr>
          <w:sz w:val="22"/>
          <w:szCs w:val="22"/>
        </w:rPr>
        <w:t xml:space="preserve"> suit l’évolution de la leptine.</w:t>
      </w:r>
      <w:r>
        <w:rPr>
          <w:sz w:val="22"/>
          <w:szCs w:val="22"/>
        </w:rPr>
        <w:t xml:space="preserve"> </w:t>
      </w:r>
      <w:r w:rsidRPr="00307485">
        <w:rPr>
          <w:sz w:val="22"/>
          <w:szCs w:val="22"/>
        </w:rPr>
        <w:t>L</w:t>
      </w:r>
      <w:r w:rsidR="00A212A9">
        <w:rPr>
          <w:sz w:val="22"/>
          <w:szCs w:val="22"/>
        </w:rPr>
        <w:t xml:space="preserve">e </w:t>
      </w:r>
      <w:r w:rsidRPr="00307485">
        <w:rPr>
          <w:sz w:val="22"/>
          <w:szCs w:val="22"/>
        </w:rPr>
        <w:t xml:space="preserve"> TA serait à l’origine d’une autre source de </w:t>
      </w:r>
      <w:r w:rsidR="00A212A9">
        <w:rPr>
          <w:sz w:val="22"/>
          <w:szCs w:val="22"/>
        </w:rPr>
        <w:t>cortisol</w:t>
      </w:r>
      <w:r w:rsidRPr="00307485">
        <w:rPr>
          <w:sz w:val="22"/>
          <w:szCs w:val="22"/>
        </w:rPr>
        <w:t xml:space="preserve">. Au vu des concentrations de cortisol et de GH, le métabolisme du cortisol parait fortement impliqué dans la genèse à la fois de l’obésité et du diabète de type 2. </w:t>
      </w:r>
      <w:r w:rsidRPr="00307485">
        <w:rPr>
          <w:rFonts w:asciiTheme="majorBidi" w:hAnsiTheme="majorBidi" w:cstheme="majorBidi"/>
          <w:sz w:val="22"/>
          <w:szCs w:val="22"/>
        </w:rPr>
        <w:t xml:space="preserve">La baisse en FT4 diminue le taux du métabolisme de base et de la dépense énergétique et participe ainsi à la dyslipidémie et aux troubles du métabolisme glucidique, caractéristiques du SM. </w:t>
      </w:r>
      <w:r w:rsidRPr="00023FB2">
        <w:rPr>
          <w:sz w:val="22"/>
          <w:szCs w:val="22"/>
        </w:rPr>
        <w:t xml:space="preserve">Les cytokines </w:t>
      </w:r>
      <w:r w:rsidR="00521E17">
        <w:rPr>
          <w:sz w:val="22"/>
          <w:szCs w:val="22"/>
        </w:rPr>
        <w:t xml:space="preserve">pro-inflammatoires </w:t>
      </w:r>
      <w:r w:rsidRPr="00023FB2">
        <w:rPr>
          <w:sz w:val="22"/>
          <w:szCs w:val="22"/>
        </w:rPr>
        <w:t xml:space="preserve">TNF-α et IL-6 </w:t>
      </w:r>
      <w:r w:rsidR="00F930AD">
        <w:rPr>
          <w:sz w:val="22"/>
          <w:szCs w:val="22"/>
        </w:rPr>
        <w:t>sont</w:t>
      </w:r>
      <w:r w:rsidRPr="00023FB2">
        <w:rPr>
          <w:sz w:val="22"/>
          <w:szCs w:val="22"/>
        </w:rPr>
        <w:t xml:space="preserve"> impli</w:t>
      </w:r>
      <w:r w:rsidR="00F930AD">
        <w:rPr>
          <w:sz w:val="22"/>
          <w:szCs w:val="22"/>
        </w:rPr>
        <w:t>quées</w:t>
      </w:r>
      <w:r w:rsidR="00A212A9">
        <w:rPr>
          <w:sz w:val="22"/>
          <w:szCs w:val="22"/>
        </w:rPr>
        <w:t xml:space="preserve"> dans le syndrome métabolique</w:t>
      </w:r>
      <w:r w:rsidRPr="00023FB2">
        <w:rPr>
          <w:sz w:val="22"/>
          <w:szCs w:val="22"/>
        </w:rPr>
        <w:t xml:space="preserve">. </w:t>
      </w:r>
      <w:r w:rsidR="00A212A9">
        <w:rPr>
          <w:sz w:val="22"/>
          <w:szCs w:val="22"/>
        </w:rPr>
        <w:t>L</w:t>
      </w:r>
      <w:r w:rsidRPr="00023FB2">
        <w:rPr>
          <w:sz w:val="22"/>
          <w:szCs w:val="22"/>
        </w:rPr>
        <w:t xml:space="preserve">’inflammation du </w:t>
      </w:r>
      <w:r w:rsidR="00A212A9">
        <w:rPr>
          <w:sz w:val="22"/>
          <w:szCs w:val="22"/>
        </w:rPr>
        <w:t>TA</w:t>
      </w:r>
      <w:r w:rsidRPr="00023FB2">
        <w:rPr>
          <w:sz w:val="22"/>
          <w:szCs w:val="22"/>
        </w:rPr>
        <w:t xml:space="preserve"> à bas bruit, puis patente est l’une des causes primitives qui engendre l’</w:t>
      </w:r>
      <w:proofErr w:type="spellStart"/>
      <w:r w:rsidRPr="00023FB2">
        <w:rPr>
          <w:sz w:val="22"/>
          <w:szCs w:val="22"/>
        </w:rPr>
        <w:t>insulinorésistance</w:t>
      </w:r>
      <w:proofErr w:type="spellEnd"/>
      <w:r w:rsidRPr="00023FB2">
        <w:rPr>
          <w:sz w:val="22"/>
          <w:szCs w:val="22"/>
        </w:rPr>
        <w:t xml:space="preserve">, puis le diabète de type 2 chez les sujets en surpoids et obèses.  </w:t>
      </w:r>
    </w:p>
    <w:p w:rsidR="00384B55" w:rsidRDefault="00384B55" w:rsidP="00DD05DC">
      <w:pPr>
        <w:autoSpaceDE w:val="0"/>
        <w:autoSpaceDN w:val="0"/>
        <w:adjustRightInd w:val="0"/>
        <w:jc w:val="both"/>
        <w:rPr>
          <w:b/>
          <w:bCs/>
          <w:sz w:val="20"/>
          <w:szCs w:val="20"/>
          <w:lang w:eastAsia="en-US"/>
        </w:rPr>
      </w:pPr>
    </w:p>
    <w:p w:rsidR="00AB0F7B" w:rsidRDefault="00DD05DC" w:rsidP="00DD05DC">
      <w:pPr>
        <w:autoSpaceDE w:val="0"/>
        <w:autoSpaceDN w:val="0"/>
        <w:adjustRightInd w:val="0"/>
        <w:jc w:val="both"/>
      </w:pPr>
      <w:r w:rsidRPr="00C52853">
        <w:rPr>
          <w:b/>
          <w:bCs/>
          <w:sz w:val="20"/>
          <w:szCs w:val="20"/>
          <w:lang w:eastAsia="en-US"/>
        </w:rPr>
        <w:t>Mots clés</w:t>
      </w:r>
      <w:r>
        <w:rPr>
          <w:b/>
          <w:bCs/>
          <w:sz w:val="20"/>
          <w:szCs w:val="20"/>
          <w:lang w:eastAsia="en-US"/>
        </w:rPr>
        <w:t>.</w:t>
      </w:r>
      <w:r w:rsidRPr="00C52853">
        <w:rPr>
          <w:b/>
          <w:bCs/>
          <w:sz w:val="20"/>
          <w:szCs w:val="20"/>
          <w:lang w:eastAsia="en-US"/>
        </w:rPr>
        <w:t xml:space="preserve"> </w:t>
      </w:r>
      <w:r>
        <w:rPr>
          <w:sz w:val="20"/>
          <w:szCs w:val="20"/>
          <w:lang w:eastAsia="en-US"/>
        </w:rPr>
        <w:t xml:space="preserve">TCA, </w:t>
      </w:r>
      <w:r w:rsidRPr="00C52853">
        <w:rPr>
          <w:sz w:val="20"/>
          <w:szCs w:val="20"/>
          <w:lang w:eastAsia="en-US"/>
        </w:rPr>
        <w:t xml:space="preserve">Tissu adipeux, </w:t>
      </w:r>
      <w:proofErr w:type="spellStart"/>
      <w:r>
        <w:rPr>
          <w:sz w:val="20"/>
          <w:szCs w:val="20"/>
          <w:lang w:eastAsia="en-US"/>
        </w:rPr>
        <w:t>A</w:t>
      </w:r>
      <w:r w:rsidRPr="00C52853">
        <w:rPr>
          <w:sz w:val="20"/>
          <w:szCs w:val="20"/>
          <w:lang w:eastAsia="en-US"/>
        </w:rPr>
        <w:t>dipokines</w:t>
      </w:r>
      <w:proofErr w:type="spellEnd"/>
      <w:r w:rsidRPr="00C52853">
        <w:rPr>
          <w:sz w:val="20"/>
          <w:szCs w:val="20"/>
          <w:lang w:eastAsia="en-US"/>
        </w:rPr>
        <w:t xml:space="preserve">, </w:t>
      </w:r>
      <w:r>
        <w:rPr>
          <w:sz w:val="20"/>
          <w:szCs w:val="20"/>
          <w:lang w:eastAsia="en-US"/>
        </w:rPr>
        <w:t>C</w:t>
      </w:r>
      <w:r w:rsidRPr="00C52853">
        <w:rPr>
          <w:sz w:val="20"/>
          <w:szCs w:val="20"/>
          <w:lang w:eastAsia="en-US"/>
        </w:rPr>
        <w:t xml:space="preserve">ytokines, </w:t>
      </w:r>
      <w:r>
        <w:rPr>
          <w:sz w:val="20"/>
          <w:szCs w:val="20"/>
          <w:lang w:eastAsia="en-US"/>
        </w:rPr>
        <w:t>S</w:t>
      </w:r>
      <w:r w:rsidRPr="00C52853">
        <w:rPr>
          <w:sz w:val="20"/>
          <w:szCs w:val="20"/>
          <w:lang w:eastAsia="en-US"/>
        </w:rPr>
        <w:t xml:space="preserve">urpoids, </w:t>
      </w:r>
      <w:r>
        <w:rPr>
          <w:sz w:val="20"/>
          <w:szCs w:val="20"/>
          <w:lang w:eastAsia="en-US"/>
        </w:rPr>
        <w:t>O</w:t>
      </w:r>
      <w:r w:rsidRPr="00C52853">
        <w:rPr>
          <w:sz w:val="20"/>
          <w:szCs w:val="20"/>
          <w:lang w:eastAsia="en-US"/>
        </w:rPr>
        <w:t xml:space="preserve">bésité, </w:t>
      </w:r>
      <w:r>
        <w:rPr>
          <w:sz w:val="20"/>
          <w:szCs w:val="20"/>
          <w:lang w:eastAsia="en-US"/>
        </w:rPr>
        <w:t>D</w:t>
      </w:r>
      <w:r w:rsidRPr="00C52853">
        <w:rPr>
          <w:sz w:val="20"/>
          <w:szCs w:val="20"/>
          <w:lang w:eastAsia="en-US"/>
        </w:rPr>
        <w:t xml:space="preserve">iabète de type 2, </w:t>
      </w:r>
      <w:proofErr w:type="spellStart"/>
      <w:r>
        <w:rPr>
          <w:sz w:val="20"/>
          <w:szCs w:val="20"/>
          <w:lang w:eastAsia="en-US"/>
        </w:rPr>
        <w:t>I</w:t>
      </w:r>
      <w:r w:rsidRPr="00C52853">
        <w:rPr>
          <w:sz w:val="20"/>
          <w:szCs w:val="20"/>
          <w:lang w:eastAsia="en-US"/>
        </w:rPr>
        <w:t>nsulinorésistance</w:t>
      </w:r>
      <w:proofErr w:type="spellEnd"/>
      <w:r w:rsidRPr="00C52853">
        <w:rPr>
          <w:sz w:val="20"/>
          <w:szCs w:val="20"/>
          <w:lang w:eastAsia="en-US"/>
        </w:rPr>
        <w:t xml:space="preserve">, </w:t>
      </w:r>
      <w:r>
        <w:rPr>
          <w:sz w:val="20"/>
          <w:szCs w:val="20"/>
          <w:lang w:eastAsia="en-US"/>
        </w:rPr>
        <w:t>S</w:t>
      </w:r>
      <w:r w:rsidRPr="00C52853">
        <w:rPr>
          <w:sz w:val="20"/>
          <w:szCs w:val="20"/>
          <w:lang w:eastAsia="en-US"/>
        </w:rPr>
        <w:t>yndrome métabolique.</w:t>
      </w:r>
    </w:p>
    <w:sectPr w:rsidR="00AB0F7B" w:rsidSect="00AB0F7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0AFF" w:usb1="00007843" w:usb2="00000001" w:usb3="00000000" w:csb0="000001B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08"/>
  <w:hyphenationZone w:val="425"/>
  <w:characterSpacingControl w:val="doNotCompress"/>
  <w:compat/>
  <w:rsids>
    <w:rsidRoot w:val="00DD05DC"/>
    <w:rsid w:val="00245249"/>
    <w:rsid w:val="00384B55"/>
    <w:rsid w:val="004D4D62"/>
    <w:rsid w:val="00521E17"/>
    <w:rsid w:val="0074253F"/>
    <w:rsid w:val="007745BF"/>
    <w:rsid w:val="00893B8D"/>
    <w:rsid w:val="008D2CE2"/>
    <w:rsid w:val="00A212A9"/>
    <w:rsid w:val="00AB0F7B"/>
    <w:rsid w:val="00AB42DD"/>
    <w:rsid w:val="00DD05DC"/>
    <w:rsid w:val="00E83935"/>
    <w:rsid w:val="00F930A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D05D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Titre2">
    <w:name w:val="heading 2"/>
    <w:basedOn w:val="Normal"/>
    <w:next w:val="Normal"/>
    <w:link w:val="Titre2Car"/>
    <w:qFormat/>
    <w:rsid w:val="00893B8D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2Car">
    <w:name w:val="Titre 2 Car"/>
    <w:basedOn w:val="Policepardfaut"/>
    <w:link w:val="Titre2"/>
    <w:rsid w:val="00893B8D"/>
    <w:rPr>
      <w:rFonts w:ascii="Arial" w:eastAsia="Times New Roman" w:hAnsi="Arial" w:cs="Arial"/>
      <w:b/>
      <w:bCs/>
      <w:i/>
      <w:iCs/>
      <w:sz w:val="28"/>
      <w:szCs w:val="28"/>
      <w:lang w:eastAsia="fr-FR"/>
    </w:rPr>
  </w:style>
  <w:style w:type="paragraph" w:styleId="Lgende">
    <w:name w:val="caption"/>
    <w:basedOn w:val="Normal"/>
    <w:next w:val="Normal"/>
    <w:uiPriority w:val="35"/>
    <w:unhideWhenUsed/>
    <w:qFormat/>
    <w:rsid w:val="00893B8D"/>
    <w:pPr>
      <w:spacing w:after="200"/>
    </w:pPr>
    <w:rPr>
      <w:b/>
      <w:bCs/>
      <w:color w:val="4F81BD" w:themeColor="accent1"/>
      <w:sz w:val="18"/>
      <w:szCs w:val="18"/>
    </w:rPr>
  </w:style>
  <w:style w:type="paragraph" w:styleId="Sous-titre">
    <w:name w:val="Subtitle"/>
    <w:basedOn w:val="Normal"/>
    <w:link w:val="Sous-titreCar"/>
    <w:qFormat/>
    <w:rsid w:val="00893B8D"/>
    <w:rPr>
      <w:b/>
      <w:bCs/>
      <w:sz w:val="32"/>
    </w:rPr>
  </w:style>
  <w:style w:type="character" w:customStyle="1" w:styleId="Sous-titreCar">
    <w:name w:val="Sous-titre Car"/>
    <w:basedOn w:val="Policepardfaut"/>
    <w:link w:val="Sous-titre"/>
    <w:rsid w:val="00893B8D"/>
    <w:rPr>
      <w:rFonts w:ascii="Times New Roman" w:eastAsia="Times New Roman" w:hAnsi="Times New Roman" w:cs="Times New Roman"/>
      <w:b/>
      <w:bCs/>
      <w:sz w:val="32"/>
      <w:szCs w:val="24"/>
      <w:lang w:eastAsia="fr-FR"/>
    </w:rPr>
  </w:style>
  <w:style w:type="paragraph" w:styleId="Paragraphedeliste">
    <w:name w:val="List Paragraph"/>
    <w:basedOn w:val="Normal"/>
    <w:uiPriority w:val="34"/>
    <w:qFormat/>
    <w:rsid w:val="00893B8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300</Words>
  <Characters>1652</Characters>
  <Application>Microsoft Office Word</Application>
  <DocSecurity>0</DocSecurity>
  <Lines>13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11</cp:revision>
  <dcterms:created xsi:type="dcterms:W3CDTF">2015-01-05T19:42:00Z</dcterms:created>
  <dcterms:modified xsi:type="dcterms:W3CDTF">2015-01-06T12:24:00Z</dcterms:modified>
</cp:coreProperties>
</file>