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74B5" w:rsidRDefault="00C65461" w:rsidP="00C65461">
      <w:pPr>
        <w:jc w:val="both"/>
        <w:rPr>
          <w:rFonts w:ascii="Times New Roman" w:hAnsi="Times New Roman" w:cs="Times New Roman"/>
          <w:sz w:val="24"/>
          <w:szCs w:val="24"/>
        </w:rPr>
      </w:pPr>
      <w:r w:rsidRPr="00C65461">
        <w:rPr>
          <w:rFonts w:ascii="Times New Roman" w:hAnsi="Times New Roman" w:cs="Times New Roman"/>
          <w:b/>
          <w:sz w:val="24"/>
          <w:szCs w:val="24"/>
        </w:rPr>
        <w:t>Résume :</w:t>
      </w:r>
      <w:r w:rsidR="007C27F6">
        <w:rPr>
          <w:rFonts w:ascii="Times New Roman" w:hAnsi="Times New Roman" w:cs="Times New Roman"/>
          <w:sz w:val="24"/>
          <w:szCs w:val="24"/>
        </w:rPr>
        <w:t xml:space="preserve"> </w:t>
      </w:r>
    </w:p>
    <w:p w:rsidR="00D20F00" w:rsidRDefault="006274B5" w:rsidP="00E94F55">
      <w:pPr>
        <w:jc w:val="both"/>
        <w:rPr>
          <w:rFonts w:ascii="Times New Roman" w:hAnsi="Times New Roman" w:cs="Times New Roman"/>
          <w:bCs/>
          <w:sz w:val="24"/>
          <w:szCs w:val="24"/>
        </w:rPr>
      </w:pPr>
      <w:r>
        <w:rPr>
          <w:rFonts w:ascii="Times New Roman" w:hAnsi="Times New Roman" w:cs="Times New Roman"/>
          <w:sz w:val="24"/>
          <w:szCs w:val="24"/>
        </w:rPr>
        <w:t xml:space="preserve">   Dans notre étude de l’oxydation à haute température de l’acier C45E, nous avons utilisé deux méthodes </w:t>
      </w:r>
      <w:r w:rsidR="004F543D">
        <w:rPr>
          <w:rFonts w:ascii="Times New Roman" w:hAnsi="Times New Roman" w:cs="Times New Roman"/>
          <w:sz w:val="24"/>
          <w:szCs w:val="24"/>
        </w:rPr>
        <w:t>différentes. A savoir l’oxydation dans l’air de l’acier dans un four électrique</w:t>
      </w:r>
      <w:r w:rsidR="0099465C">
        <w:rPr>
          <w:rFonts w:ascii="Times New Roman" w:hAnsi="Times New Roman" w:cs="Times New Roman"/>
          <w:sz w:val="24"/>
          <w:szCs w:val="24"/>
        </w:rPr>
        <w:t xml:space="preserve"> (500-900°C)</w:t>
      </w:r>
      <w:r w:rsidR="004F543D">
        <w:rPr>
          <w:rFonts w:ascii="Times New Roman" w:hAnsi="Times New Roman" w:cs="Times New Roman"/>
          <w:sz w:val="24"/>
          <w:szCs w:val="24"/>
        </w:rPr>
        <w:t>, et l’étude par thermogravimétrie « TG » dans une atmosphère d’oxygène avec une pression 1bar</w:t>
      </w:r>
      <w:r w:rsidR="0099465C">
        <w:rPr>
          <w:rFonts w:ascii="Times New Roman" w:hAnsi="Times New Roman" w:cs="Times New Roman"/>
          <w:sz w:val="24"/>
          <w:szCs w:val="24"/>
        </w:rPr>
        <w:t xml:space="preserve"> (400-600°C)</w:t>
      </w:r>
      <w:r w:rsidR="00E5371D">
        <w:rPr>
          <w:rFonts w:ascii="Times New Roman" w:hAnsi="Times New Roman" w:cs="Times New Roman"/>
          <w:sz w:val="24"/>
          <w:szCs w:val="24"/>
        </w:rPr>
        <w:t xml:space="preserve">. L’objectif dans cette étude est de comprendre la réactivité du </w:t>
      </w:r>
      <w:r w:rsidR="004F543D">
        <w:rPr>
          <w:rFonts w:ascii="Times New Roman" w:hAnsi="Times New Roman" w:cs="Times New Roman"/>
          <w:sz w:val="24"/>
          <w:szCs w:val="24"/>
        </w:rPr>
        <w:t>C45E</w:t>
      </w:r>
      <w:r w:rsidR="0099465C">
        <w:rPr>
          <w:rFonts w:ascii="Times New Roman" w:hAnsi="Times New Roman" w:cs="Times New Roman"/>
          <w:sz w:val="24"/>
          <w:szCs w:val="24"/>
        </w:rPr>
        <w:t>,</w:t>
      </w:r>
      <w:r w:rsidR="004F543D">
        <w:rPr>
          <w:rFonts w:ascii="Times New Roman" w:hAnsi="Times New Roman" w:cs="Times New Roman"/>
          <w:sz w:val="24"/>
          <w:szCs w:val="24"/>
        </w:rPr>
        <w:t xml:space="preserve"> par l’établissement des cinétiques d’oxydation de ce dernier</w:t>
      </w:r>
      <w:r w:rsidR="0099465C">
        <w:rPr>
          <w:rFonts w:ascii="Times New Roman" w:hAnsi="Times New Roman" w:cs="Times New Roman"/>
          <w:sz w:val="24"/>
          <w:szCs w:val="24"/>
        </w:rPr>
        <w:t xml:space="preserve">. La détermination des constantes parabolique d’oxydation </w:t>
      </w:r>
      <m:oMath>
        <m:sSub>
          <m:sSubPr>
            <m:ctrlPr>
              <w:rPr>
                <w:rFonts w:ascii="Cambria Math" w:hAnsi="Cambria Math" w:cs="Times New Roman"/>
                <w:bCs/>
                <w:i/>
                <w:sz w:val="28"/>
                <w:szCs w:val="28"/>
              </w:rPr>
            </m:ctrlPr>
          </m:sSubPr>
          <m:e>
            <m:r>
              <w:rPr>
                <w:rFonts w:ascii="Cambria Math" w:hAnsi="Cambria Math" w:cs="Times New Roman"/>
                <w:sz w:val="28"/>
                <w:szCs w:val="28"/>
              </w:rPr>
              <m:t>k</m:t>
            </m:r>
          </m:e>
          <m:sub>
            <m:r>
              <w:rPr>
                <w:rFonts w:ascii="Cambria Math" w:hAnsi="Cambria Math" w:cs="Times New Roman"/>
                <w:sz w:val="28"/>
                <w:szCs w:val="28"/>
              </w:rPr>
              <m:t>p</m:t>
            </m:r>
          </m:sub>
        </m:sSub>
      </m:oMath>
      <w:r w:rsidR="0099465C" w:rsidRPr="00570357">
        <w:rPr>
          <w:rFonts w:ascii="Times New Roman" w:hAnsi="Times New Roman" w:cs="Times New Roman"/>
          <w:bCs/>
          <w:sz w:val="24"/>
          <w:szCs w:val="24"/>
        </w:rPr>
        <w:t>(Kg</w:t>
      </w:r>
      <w:r w:rsidR="0099465C" w:rsidRPr="00570357">
        <w:rPr>
          <w:rFonts w:ascii="Times New Roman" w:hAnsi="Times New Roman" w:cs="Times New Roman"/>
          <w:bCs/>
          <w:sz w:val="24"/>
          <w:szCs w:val="24"/>
          <w:vertAlign w:val="superscript"/>
        </w:rPr>
        <w:t>2</w:t>
      </w:r>
      <w:r w:rsidR="0099465C" w:rsidRPr="00570357">
        <w:rPr>
          <w:rFonts w:ascii="Times New Roman" w:hAnsi="Times New Roman" w:cs="Times New Roman"/>
          <w:bCs/>
          <w:sz w:val="24"/>
          <w:szCs w:val="24"/>
        </w:rPr>
        <w:t>/m</w:t>
      </w:r>
      <w:r w:rsidR="0099465C" w:rsidRPr="00570357">
        <w:rPr>
          <w:rFonts w:ascii="Times New Roman" w:hAnsi="Times New Roman" w:cs="Times New Roman"/>
          <w:bCs/>
          <w:sz w:val="24"/>
          <w:szCs w:val="24"/>
          <w:vertAlign w:val="superscript"/>
        </w:rPr>
        <w:t>4</w:t>
      </w:r>
      <w:r w:rsidR="0099465C" w:rsidRPr="00570357">
        <w:rPr>
          <w:rFonts w:ascii="Times New Roman" w:hAnsi="Times New Roman" w:cs="Times New Roman"/>
          <w:bCs/>
          <w:sz w:val="24"/>
          <w:szCs w:val="24"/>
        </w:rPr>
        <w:t>/s)</w:t>
      </w:r>
      <w:r w:rsidR="0099465C">
        <w:rPr>
          <w:rFonts w:ascii="Times New Roman" w:hAnsi="Times New Roman" w:cs="Times New Roman"/>
          <w:bCs/>
          <w:sz w:val="24"/>
          <w:szCs w:val="24"/>
        </w:rPr>
        <w:t xml:space="preserve"> pou</w:t>
      </w:r>
      <w:r w:rsidR="009F15D9">
        <w:rPr>
          <w:rFonts w:ascii="Times New Roman" w:hAnsi="Times New Roman" w:cs="Times New Roman"/>
          <w:bCs/>
          <w:sz w:val="24"/>
          <w:szCs w:val="24"/>
        </w:rPr>
        <w:t xml:space="preserve">r chaque température d’essai, </w:t>
      </w:r>
      <w:r w:rsidR="0099465C">
        <w:rPr>
          <w:rFonts w:ascii="Times New Roman" w:hAnsi="Times New Roman" w:cs="Times New Roman"/>
          <w:bCs/>
          <w:sz w:val="24"/>
          <w:szCs w:val="24"/>
        </w:rPr>
        <w:t>le calcul de l’éner</w:t>
      </w:r>
      <w:r w:rsidR="00E94F55">
        <w:rPr>
          <w:rFonts w:ascii="Times New Roman" w:hAnsi="Times New Roman" w:cs="Times New Roman"/>
          <w:bCs/>
          <w:sz w:val="24"/>
          <w:szCs w:val="24"/>
        </w:rPr>
        <w:t>gie d’activation Q (</w:t>
      </w:r>
      <w:proofErr w:type="spellStart"/>
      <w:r w:rsidR="00E94F55">
        <w:rPr>
          <w:rFonts w:ascii="Times New Roman" w:hAnsi="Times New Roman" w:cs="Times New Roman"/>
          <w:bCs/>
          <w:sz w:val="24"/>
          <w:szCs w:val="24"/>
        </w:rPr>
        <w:t>k</w:t>
      </w:r>
      <w:r w:rsidR="009F15D9">
        <w:rPr>
          <w:rFonts w:ascii="Times New Roman" w:hAnsi="Times New Roman" w:cs="Times New Roman"/>
          <w:bCs/>
          <w:sz w:val="24"/>
          <w:szCs w:val="24"/>
        </w:rPr>
        <w:t>j</w:t>
      </w:r>
      <w:proofErr w:type="spellEnd"/>
      <w:r w:rsidR="009F15D9">
        <w:rPr>
          <w:rFonts w:ascii="Times New Roman" w:hAnsi="Times New Roman" w:cs="Times New Roman"/>
          <w:bCs/>
          <w:sz w:val="24"/>
          <w:szCs w:val="24"/>
        </w:rPr>
        <w:t>/mole) pour</w:t>
      </w:r>
      <w:r w:rsidR="0099465C">
        <w:rPr>
          <w:rFonts w:ascii="Times New Roman" w:hAnsi="Times New Roman" w:cs="Times New Roman"/>
          <w:bCs/>
          <w:sz w:val="24"/>
          <w:szCs w:val="24"/>
        </w:rPr>
        <w:t xml:space="preserve"> les deux </w:t>
      </w:r>
      <w:r w:rsidR="00740E01">
        <w:rPr>
          <w:rFonts w:ascii="Times New Roman" w:hAnsi="Times New Roman" w:cs="Times New Roman"/>
          <w:bCs/>
          <w:sz w:val="24"/>
          <w:szCs w:val="24"/>
        </w:rPr>
        <w:t>atmosphères</w:t>
      </w:r>
      <w:r w:rsidR="0099465C">
        <w:rPr>
          <w:rFonts w:ascii="Times New Roman" w:hAnsi="Times New Roman" w:cs="Times New Roman"/>
          <w:bCs/>
          <w:sz w:val="24"/>
          <w:szCs w:val="24"/>
        </w:rPr>
        <w:t xml:space="preserve"> </w:t>
      </w:r>
      <w:r w:rsidR="00740E01">
        <w:rPr>
          <w:rFonts w:ascii="Times New Roman" w:hAnsi="Times New Roman" w:cs="Times New Roman"/>
          <w:bCs/>
          <w:sz w:val="24"/>
          <w:szCs w:val="24"/>
        </w:rPr>
        <w:t>étudiées</w:t>
      </w:r>
      <w:r w:rsidR="0099465C">
        <w:rPr>
          <w:rFonts w:ascii="Times New Roman" w:hAnsi="Times New Roman" w:cs="Times New Roman"/>
          <w:bCs/>
          <w:sz w:val="24"/>
          <w:szCs w:val="24"/>
        </w:rPr>
        <w:t>.</w:t>
      </w:r>
      <w:r w:rsidR="00E5371D">
        <w:rPr>
          <w:rFonts w:ascii="Times New Roman" w:hAnsi="Times New Roman" w:cs="Times New Roman"/>
          <w:bCs/>
          <w:sz w:val="24"/>
          <w:szCs w:val="24"/>
        </w:rPr>
        <w:t xml:space="preserve"> </w:t>
      </w:r>
      <w:r w:rsidR="00D20F00">
        <w:rPr>
          <w:rFonts w:ascii="Times New Roman" w:hAnsi="Times New Roman" w:cs="Times New Roman"/>
          <w:bCs/>
          <w:sz w:val="24"/>
          <w:szCs w:val="24"/>
        </w:rPr>
        <w:t>Les couches d’oxydes formées ont ensuite été caractéri</w:t>
      </w:r>
      <w:r w:rsidR="00E5371D">
        <w:rPr>
          <w:rFonts w:ascii="Times New Roman" w:hAnsi="Times New Roman" w:cs="Times New Roman"/>
          <w:bCs/>
          <w:sz w:val="24"/>
          <w:szCs w:val="24"/>
        </w:rPr>
        <w:t xml:space="preserve">sées par différentes techniques la microscopie optique, </w:t>
      </w:r>
      <w:r w:rsidR="00D20F00">
        <w:rPr>
          <w:rFonts w:ascii="Times New Roman" w:hAnsi="Times New Roman" w:cs="Times New Roman"/>
          <w:bCs/>
          <w:sz w:val="24"/>
          <w:szCs w:val="24"/>
        </w:rPr>
        <w:t>MEB, la DRX</w:t>
      </w:r>
      <w:r w:rsidR="00E94F55">
        <w:rPr>
          <w:rFonts w:ascii="Times New Roman" w:hAnsi="Times New Roman" w:cs="Times New Roman"/>
          <w:bCs/>
          <w:sz w:val="24"/>
          <w:szCs w:val="24"/>
        </w:rPr>
        <w:t>,</w:t>
      </w:r>
      <w:r w:rsidR="00D20F00">
        <w:rPr>
          <w:rFonts w:ascii="Times New Roman" w:hAnsi="Times New Roman" w:cs="Times New Roman"/>
          <w:bCs/>
          <w:sz w:val="24"/>
          <w:szCs w:val="24"/>
        </w:rPr>
        <w:t xml:space="preserve"> la microdureté.          </w:t>
      </w:r>
    </w:p>
    <w:p w:rsidR="0073276E" w:rsidRDefault="0085115A" w:rsidP="00E94F55">
      <w:pPr>
        <w:jc w:val="both"/>
        <w:rPr>
          <w:rFonts w:ascii="Times New Roman" w:hAnsi="Times New Roman" w:cs="Times New Roman"/>
          <w:sz w:val="24"/>
          <w:szCs w:val="24"/>
        </w:rPr>
      </w:pPr>
      <w:r>
        <w:rPr>
          <w:rFonts w:ascii="Times New Roman" w:hAnsi="Times New Roman" w:cs="Times New Roman"/>
          <w:bCs/>
          <w:sz w:val="24"/>
          <w:szCs w:val="24"/>
        </w:rPr>
        <w:t xml:space="preserve">   </w:t>
      </w:r>
      <w:r w:rsidR="00E5371D">
        <w:rPr>
          <w:rFonts w:ascii="Times New Roman" w:hAnsi="Times New Roman" w:cs="Times New Roman"/>
          <w:bCs/>
          <w:sz w:val="24"/>
          <w:szCs w:val="24"/>
        </w:rPr>
        <w:t>Au cours de ce</w:t>
      </w:r>
      <w:r w:rsidR="00740E01">
        <w:rPr>
          <w:rFonts w:ascii="Times New Roman" w:hAnsi="Times New Roman" w:cs="Times New Roman"/>
          <w:bCs/>
          <w:sz w:val="24"/>
          <w:szCs w:val="24"/>
        </w:rPr>
        <w:t xml:space="preserve"> travail, une attention particulière à été accordée aux multiples évolutions microstructurales qui se manifeste dans les couches d’</w:t>
      </w:r>
      <w:r w:rsidR="0082014B">
        <w:rPr>
          <w:rFonts w:ascii="Times New Roman" w:hAnsi="Times New Roman" w:cs="Times New Roman"/>
          <w:bCs/>
          <w:sz w:val="24"/>
          <w:szCs w:val="24"/>
        </w:rPr>
        <w:t>oxydes formées</w:t>
      </w:r>
      <w:r w:rsidR="00740E01">
        <w:rPr>
          <w:rFonts w:ascii="Times New Roman" w:hAnsi="Times New Roman" w:cs="Times New Roman"/>
          <w:bCs/>
          <w:sz w:val="24"/>
          <w:szCs w:val="24"/>
        </w:rPr>
        <w:t xml:space="preserve"> sur les échantillons</w:t>
      </w:r>
      <w:r w:rsidR="0082014B">
        <w:rPr>
          <w:rFonts w:ascii="Times New Roman" w:hAnsi="Times New Roman" w:cs="Times New Roman"/>
          <w:bCs/>
          <w:sz w:val="24"/>
          <w:szCs w:val="24"/>
        </w:rPr>
        <w:t xml:space="preserve"> aux diffé</w:t>
      </w:r>
      <w:r w:rsidR="009F15D9">
        <w:rPr>
          <w:rFonts w:ascii="Times New Roman" w:hAnsi="Times New Roman" w:cs="Times New Roman"/>
          <w:bCs/>
          <w:sz w:val="24"/>
          <w:szCs w:val="24"/>
        </w:rPr>
        <w:t>rentes températures d’oxydation</w:t>
      </w:r>
      <w:r w:rsidR="002A2E6A">
        <w:rPr>
          <w:rFonts w:ascii="Times New Roman" w:hAnsi="Times New Roman" w:cs="Times New Roman"/>
          <w:bCs/>
          <w:sz w:val="24"/>
          <w:szCs w:val="24"/>
        </w:rPr>
        <w:t>.</w:t>
      </w:r>
      <w:r w:rsidR="004E0F89">
        <w:rPr>
          <w:rFonts w:ascii="Times New Roman" w:hAnsi="Times New Roman" w:cs="Times New Roman"/>
          <w:bCs/>
          <w:sz w:val="24"/>
          <w:szCs w:val="24"/>
        </w:rPr>
        <w:t xml:space="preserve"> Une analyse approfondie de la ségrégation des éléments d’aditions de l’acier</w:t>
      </w:r>
      <w:r w:rsidR="00C65C44">
        <w:rPr>
          <w:rFonts w:ascii="Times New Roman" w:hAnsi="Times New Roman" w:cs="Times New Roman"/>
          <w:bCs/>
          <w:sz w:val="24"/>
          <w:szCs w:val="24"/>
        </w:rPr>
        <w:t>, au niveau de l’interface interne et la d</w:t>
      </w:r>
      <w:r w:rsidR="009F15D9">
        <w:rPr>
          <w:rFonts w:ascii="Times New Roman" w:hAnsi="Times New Roman" w:cs="Times New Roman"/>
          <w:bCs/>
          <w:sz w:val="24"/>
          <w:szCs w:val="24"/>
        </w:rPr>
        <w:t>iffusion de ces éléments dans les</w:t>
      </w:r>
      <w:r w:rsidR="00C65C44">
        <w:rPr>
          <w:rFonts w:ascii="Times New Roman" w:hAnsi="Times New Roman" w:cs="Times New Roman"/>
          <w:bCs/>
          <w:sz w:val="24"/>
          <w:szCs w:val="24"/>
        </w:rPr>
        <w:t xml:space="preserve"> couche</w:t>
      </w:r>
      <w:r w:rsidR="009F15D9">
        <w:rPr>
          <w:rFonts w:ascii="Times New Roman" w:hAnsi="Times New Roman" w:cs="Times New Roman"/>
          <w:bCs/>
          <w:sz w:val="24"/>
          <w:szCs w:val="24"/>
        </w:rPr>
        <w:t>s</w:t>
      </w:r>
      <w:r w:rsidR="00C65C44">
        <w:rPr>
          <w:rFonts w:ascii="Times New Roman" w:hAnsi="Times New Roman" w:cs="Times New Roman"/>
          <w:bCs/>
          <w:sz w:val="24"/>
          <w:szCs w:val="24"/>
        </w:rPr>
        <w:t xml:space="preserve"> d’oxyde</w:t>
      </w:r>
      <w:r w:rsidR="009F15D9">
        <w:rPr>
          <w:rFonts w:ascii="Times New Roman" w:hAnsi="Times New Roman" w:cs="Times New Roman"/>
          <w:bCs/>
          <w:sz w:val="24"/>
          <w:szCs w:val="24"/>
        </w:rPr>
        <w:t>s à été également observée grâce au profil</w:t>
      </w:r>
      <w:r w:rsidR="00C65C44">
        <w:rPr>
          <w:rFonts w:ascii="Times New Roman" w:hAnsi="Times New Roman" w:cs="Times New Roman"/>
          <w:bCs/>
          <w:sz w:val="24"/>
          <w:szCs w:val="24"/>
        </w:rPr>
        <w:t xml:space="preserve"> </w:t>
      </w:r>
      <w:r w:rsidR="009F15D9">
        <w:rPr>
          <w:rFonts w:ascii="Times New Roman" w:hAnsi="Times New Roman" w:cs="Times New Roman"/>
          <w:bCs/>
          <w:sz w:val="24"/>
          <w:szCs w:val="24"/>
        </w:rPr>
        <w:t>linéaire</w:t>
      </w:r>
      <w:r w:rsidR="00C65C44">
        <w:rPr>
          <w:rFonts w:ascii="Times New Roman" w:hAnsi="Times New Roman" w:cs="Times New Roman"/>
          <w:bCs/>
          <w:sz w:val="24"/>
          <w:szCs w:val="24"/>
        </w:rPr>
        <w:t xml:space="preserve"> </w:t>
      </w:r>
      <w:r w:rsidR="00E5371D">
        <w:rPr>
          <w:rFonts w:ascii="Times New Roman" w:hAnsi="Times New Roman" w:cs="Times New Roman"/>
          <w:bCs/>
          <w:sz w:val="24"/>
          <w:szCs w:val="24"/>
        </w:rPr>
        <w:t xml:space="preserve">réalisés par </w:t>
      </w:r>
      <w:r w:rsidR="00C65C44">
        <w:rPr>
          <w:rFonts w:ascii="Times New Roman" w:hAnsi="Times New Roman" w:cs="Times New Roman"/>
          <w:bCs/>
          <w:sz w:val="24"/>
          <w:szCs w:val="24"/>
        </w:rPr>
        <w:t>EDS sur les couches d’oxydes.</w:t>
      </w:r>
      <w:r w:rsidR="009F15D9">
        <w:rPr>
          <w:rFonts w:ascii="Times New Roman" w:hAnsi="Times New Roman" w:cs="Times New Roman"/>
          <w:bCs/>
          <w:sz w:val="24"/>
          <w:szCs w:val="24"/>
        </w:rPr>
        <w:t xml:space="preserve"> </w:t>
      </w:r>
      <w:r w:rsidR="00D20F00">
        <w:rPr>
          <w:rFonts w:ascii="Times New Roman" w:hAnsi="Times New Roman" w:cs="Times New Roman"/>
          <w:sz w:val="24"/>
          <w:szCs w:val="24"/>
        </w:rPr>
        <w:t>Pour les échantillons oxydés dan</w:t>
      </w:r>
      <w:r w:rsidR="00E94F55">
        <w:rPr>
          <w:rFonts w:ascii="Times New Roman" w:hAnsi="Times New Roman" w:cs="Times New Roman"/>
          <w:sz w:val="24"/>
          <w:szCs w:val="24"/>
        </w:rPr>
        <w:t>s</w:t>
      </w:r>
      <w:r w:rsidR="00D20F00">
        <w:rPr>
          <w:rFonts w:ascii="Times New Roman" w:hAnsi="Times New Roman" w:cs="Times New Roman"/>
          <w:sz w:val="24"/>
          <w:szCs w:val="24"/>
        </w:rPr>
        <w:t xml:space="preserve"> le four, nous avons confirmé le rôle prépondérant que joue les boursouflures sur l’évolution des épaisseurs relatives des couches d’oxyde au cours de la croissance de ces couches, et valider le lien entre l’apparition de ces boursouflure au cours de l’oxydation et</w:t>
      </w:r>
      <w:r w:rsidR="009F15D9">
        <w:rPr>
          <w:rFonts w:ascii="Times New Roman" w:hAnsi="Times New Roman" w:cs="Times New Roman"/>
          <w:sz w:val="24"/>
          <w:szCs w:val="24"/>
        </w:rPr>
        <w:t xml:space="preserve"> ses répercuss</w:t>
      </w:r>
      <w:r w:rsidR="00C0335B">
        <w:rPr>
          <w:rFonts w:ascii="Times New Roman" w:hAnsi="Times New Roman" w:cs="Times New Roman"/>
          <w:sz w:val="24"/>
          <w:szCs w:val="24"/>
        </w:rPr>
        <w:t>ions sur</w:t>
      </w:r>
      <w:r w:rsidR="00D20F00">
        <w:rPr>
          <w:rFonts w:ascii="Times New Roman" w:hAnsi="Times New Roman" w:cs="Times New Roman"/>
          <w:sz w:val="24"/>
          <w:szCs w:val="24"/>
        </w:rPr>
        <w:t xml:space="preserve"> le comportement cinétique de l’acier</w:t>
      </w:r>
      <w:r w:rsidR="00E5371D">
        <w:rPr>
          <w:rFonts w:ascii="Times New Roman" w:hAnsi="Times New Roman" w:cs="Times New Roman"/>
          <w:sz w:val="24"/>
          <w:szCs w:val="24"/>
        </w:rPr>
        <w:t xml:space="preserve"> C45E</w:t>
      </w:r>
      <w:r w:rsidR="00D20F00">
        <w:rPr>
          <w:rFonts w:ascii="Times New Roman" w:hAnsi="Times New Roman" w:cs="Times New Roman"/>
          <w:sz w:val="24"/>
          <w:szCs w:val="24"/>
        </w:rPr>
        <w:t xml:space="preserve"> à haute température</w:t>
      </w:r>
      <w:r w:rsidR="00B84045">
        <w:rPr>
          <w:rFonts w:ascii="Times New Roman" w:hAnsi="Times New Roman" w:cs="Times New Roman"/>
          <w:sz w:val="24"/>
          <w:szCs w:val="24"/>
        </w:rPr>
        <w:t>.</w:t>
      </w:r>
    </w:p>
    <w:p w:rsidR="0073276E" w:rsidRPr="0073276E" w:rsidRDefault="0073276E" w:rsidP="00E94F55">
      <w:pPr>
        <w:autoSpaceDE w:val="0"/>
        <w:autoSpaceDN w:val="0"/>
        <w:adjustRightInd w:val="0"/>
        <w:spacing w:after="0"/>
        <w:rPr>
          <w:rFonts w:ascii="Times New Roman" w:hAnsi="Times New Roman" w:cs="Times New Roman"/>
          <w:sz w:val="24"/>
          <w:szCs w:val="24"/>
        </w:rPr>
      </w:pPr>
      <w:r w:rsidRPr="0073276E">
        <w:rPr>
          <w:rFonts w:ascii="Times New Roman" w:hAnsi="Times New Roman" w:cs="Times New Roman"/>
          <w:b/>
          <w:sz w:val="24"/>
          <w:szCs w:val="24"/>
        </w:rPr>
        <w:t>Mots clefs :</w:t>
      </w:r>
      <w:r w:rsidRPr="0073276E">
        <w:rPr>
          <w:rFonts w:ascii="Times New Roman" w:hAnsi="Times New Roman" w:cs="Times New Roman"/>
          <w:sz w:val="24"/>
          <w:szCs w:val="24"/>
        </w:rPr>
        <w:t xml:space="preserve"> </w:t>
      </w:r>
      <w:r w:rsidR="007C27F6">
        <w:rPr>
          <w:rFonts w:ascii="Times New Roman" w:hAnsi="Times New Roman" w:cs="Times New Roman"/>
          <w:sz w:val="24"/>
          <w:szCs w:val="24"/>
        </w:rPr>
        <w:t xml:space="preserve">corrosion - </w:t>
      </w:r>
      <w:r>
        <w:rPr>
          <w:rFonts w:ascii="Times New Roman" w:hAnsi="Times New Roman" w:cs="Times New Roman"/>
          <w:sz w:val="24"/>
          <w:szCs w:val="24"/>
        </w:rPr>
        <w:t>cinétique d</w:t>
      </w:r>
      <w:r w:rsidR="000F31DC">
        <w:rPr>
          <w:rFonts w:ascii="Times New Roman" w:hAnsi="Times New Roman" w:cs="Times New Roman"/>
          <w:sz w:val="24"/>
          <w:szCs w:val="24"/>
        </w:rPr>
        <w:t xml:space="preserve">’oxydation - thermogravimétrie  - </w:t>
      </w:r>
      <w:r>
        <w:rPr>
          <w:rFonts w:ascii="Times New Roman" w:hAnsi="Times New Roman" w:cs="Times New Roman"/>
          <w:sz w:val="24"/>
          <w:szCs w:val="24"/>
        </w:rPr>
        <w:t>mécanisme - oxydation - ségrégation - Energie d’activation.</w:t>
      </w:r>
    </w:p>
    <w:p w:rsidR="00D20F00" w:rsidRDefault="00D20F00" w:rsidP="00E94F5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rsidR="00E94F55" w:rsidRPr="00AE055E" w:rsidRDefault="00E94F55" w:rsidP="00E94F55">
      <w:pPr>
        <w:spacing w:after="0"/>
        <w:jc w:val="both"/>
        <w:rPr>
          <w:rFonts w:ascii="Times New Roman" w:hAnsi="Times New Roman" w:cs="Times New Roman"/>
          <w:bCs/>
          <w:sz w:val="24"/>
          <w:szCs w:val="24"/>
        </w:rPr>
      </w:pPr>
    </w:p>
    <w:sectPr w:rsidR="00E94F55" w:rsidRPr="00AE055E" w:rsidSect="00E94F55">
      <w:headerReference w:type="default" r:id="rId6"/>
      <w:footerReference w:type="default" r:id="rId7"/>
      <w:pgSz w:w="11906" w:h="16838"/>
      <w:pgMar w:top="963" w:right="1417" w:bottom="993" w:left="1417" w:header="284"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1CCB" w:rsidRDefault="004C1CCB" w:rsidP="0073276E">
      <w:pPr>
        <w:spacing w:after="0" w:line="240" w:lineRule="auto"/>
      </w:pPr>
      <w:r>
        <w:separator/>
      </w:r>
    </w:p>
  </w:endnote>
  <w:endnote w:type="continuationSeparator" w:id="1">
    <w:p w:rsidR="004C1CCB" w:rsidRDefault="004C1CCB" w:rsidP="007327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15D9" w:rsidRDefault="009F15D9">
    <w:pPr>
      <w:pStyle w:val="Pieddepage"/>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p>
  <w:p w:rsidR="009F15D9" w:rsidRDefault="009F15D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1CCB" w:rsidRDefault="004C1CCB" w:rsidP="0073276E">
      <w:pPr>
        <w:spacing w:after="0" w:line="240" w:lineRule="auto"/>
      </w:pPr>
      <w:r>
        <w:separator/>
      </w:r>
    </w:p>
  </w:footnote>
  <w:footnote w:type="continuationSeparator" w:id="1">
    <w:p w:rsidR="004C1CCB" w:rsidRDefault="004C1CCB" w:rsidP="0073276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b/>
        <w:i/>
        <w:sz w:val="24"/>
        <w:szCs w:val="24"/>
      </w:rPr>
      <w:alias w:val="Titre"/>
      <w:id w:val="77738743"/>
      <w:placeholder>
        <w:docPart w:val="AA2E6338D8CA41E995ED1A8E5A8EBFF9"/>
      </w:placeholder>
      <w:dataBinding w:prefixMappings="xmlns:ns0='http://schemas.openxmlformats.org/package/2006/metadata/core-properties' xmlns:ns1='http://purl.org/dc/elements/1.1/'" w:xpath="/ns0:coreProperties[1]/ns1:title[1]" w:storeItemID="{6C3C8BC8-F283-45AE-878A-BAB7291924A1}"/>
      <w:text/>
    </w:sdtPr>
    <w:sdtContent>
      <w:p w:rsidR="009F15D9" w:rsidRDefault="009F15D9" w:rsidP="00E94F55">
        <w:pPr>
          <w:pStyle w:val="En-tte"/>
          <w:pBdr>
            <w:bottom w:val="thickThinSmallGap" w:sz="24" w:space="9" w:color="622423" w:themeColor="accent2" w:themeShade="7F"/>
          </w:pBdr>
          <w:jc w:val="center"/>
          <w:rPr>
            <w:rFonts w:asciiTheme="majorHAnsi" w:eastAsiaTheme="majorEastAsia" w:hAnsiTheme="majorHAnsi" w:cstheme="majorBidi"/>
            <w:sz w:val="32"/>
            <w:szCs w:val="32"/>
          </w:rPr>
        </w:pPr>
        <w:r w:rsidRPr="0073276E">
          <w:rPr>
            <w:rFonts w:ascii="Times New Roman" w:hAnsi="Times New Roman" w:cs="Times New Roman"/>
            <w:b/>
            <w:i/>
            <w:sz w:val="24"/>
            <w:szCs w:val="24"/>
          </w:rPr>
          <w:t>Résume</w:t>
        </w:r>
      </w:p>
    </w:sdtContent>
  </w:sdt>
  <w:p w:rsidR="009F15D9" w:rsidRDefault="009F15D9">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footnotePr>
    <w:footnote w:id="0"/>
    <w:footnote w:id="1"/>
  </w:footnotePr>
  <w:endnotePr>
    <w:endnote w:id="0"/>
    <w:endnote w:id="1"/>
  </w:endnotePr>
  <w:compat/>
  <w:rsids>
    <w:rsidRoot w:val="00C65461"/>
    <w:rsid w:val="00057D58"/>
    <w:rsid w:val="000F31DC"/>
    <w:rsid w:val="0027714A"/>
    <w:rsid w:val="002A2E6A"/>
    <w:rsid w:val="004C1CCB"/>
    <w:rsid w:val="004E0F89"/>
    <w:rsid w:val="004F543D"/>
    <w:rsid w:val="00590531"/>
    <w:rsid w:val="005C4CF1"/>
    <w:rsid w:val="006274B5"/>
    <w:rsid w:val="0073276E"/>
    <w:rsid w:val="00740E01"/>
    <w:rsid w:val="00782788"/>
    <w:rsid w:val="007C27F6"/>
    <w:rsid w:val="00807E2B"/>
    <w:rsid w:val="0082014B"/>
    <w:rsid w:val="0085115A"/>
    <w:rsid w:val="0099465C"/>
    <w:rsid w:val="00996274"/>
    <w:rsid w:val="009F15D9"/>
    <w:rsid w:val="00AE055E"/>
    <w:rsid w:val="00B84045"/>
    <w:rsid w:val="00C0335B"/>
    <w:rsid w:val="00C65461"/>
    <w:rsid w:val="00C65C44"/>
    <w:rsid w:val="00CC3764"/>
    <w:rsid w:val="00D20F00"/>
    <w:rsid w:val="00DC4E20"/>
    <w:rsid w:val="00E200E4"/>
    <w:rsid w:val="00E5371D"/>
    <w:rsid w:val="00E94F5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7E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99465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9465C"/>
    <w:rPr>
      <w:rFonts w:ascii="Tahoma" w:hAnsi="Tahoma" w:cs="Tahoma"/>
      <w:sz w:val="16"/>
      <w:szCs w:val="16"/>
    </w:rPr>
  </w:style>
  <w:style w:type="paragraph" w:styleId="En-tte">
    <w:name w:val="header"/>
    <w:basedOn w:val="Normal"/>
    <w:link w:val="En-tteCar"/>
    <w:uiPriority w:val="99"/>
    <w:unhideWhenUsed/>
    <w:rsid w:val="0073276E"/>
    <w:pPr>
      <w:tabs>
        <w:tab w:val="center" w:pos="4536"/>
        <w:tab w:val="right" w:pos="9072"/>
      </w:tabs>
      <w:spacing w:after="0" w:line="240" w:lineRule="auto"/>
    </w:pPr>
  </w:style>
  <w:style w:type="character" w:customStyle="1" w:styleId="En-tteCar">
    <w:name w:val="En-tête Car"/>
    <w:basedOn w:val="Policepardfaut"/>
    <w:link w:val="En-tte"/>
    <w:uiPriority w:val="99"/>
    <w:rsid w:val="0073276E"/>
  </w:style>
  <w:style w:type="paragraph" w:styleId="Pieddepage">
    <w:name w:val="footer"/>
    <w:basedOn w:val="Normal"/>
    <w:link w:val="PieddepageCar"/>
    <w:uiPriority w:val="99"/>
    <w:unhideWhenUsed/>
    <w:rsid w:val="0073276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3276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A2E6338D8CA41E995ED1A8E5A8EBFF9"/>
        <w:category>
          <w:name w:val="Général"/>
          <w:gallery w:val="placeholder"/>
        </w:category>
        <w:types>
          <w:type w:val="bbPlcHdr"/>
        </w:types>
        <w:behaviors>
          <w:behavior w:val="content"/>
        </w:behaviors>
        <w:guid w:val="{B68A0925-683D-4D93-8081-FD9C9519475D}"/>
      </w:docPartPr>
      <w:docPartBody>
        <w:p w:rsidR="00B540EE" w:rsidRDefault="001F2720" w:rsidP="001F2720">
          <w:pPr>
            <w:pStyle w:val="AA2E6338D8CA41E995ED1A8E5A8EBFF9"/>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1F2720"/>
    <w:rsid w:val="001F2720"/>
    <w:rsid w:val="0049698E"/>
    <w:rsid w:val="00944778"/>
    <w:rsid w:val="00A70CBC"/>
    <w:rsid w:val="00B540EE"/>
    <w:rsid w:val="00F0606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40E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A2E6338D8CA41E995ED1A8E5A8EBFF9">
    <w:name w:val="AA2E6338D8CA41E995ED1A8E5A8EBFF9"/>
    <w:rsid w:val="001F2720"/>
  </w:style>
  <w:style w:type="paragraph" w:customStyle="1" w:styleId="400F7D722F064712A2CC27730188B9A9">
    <w:name w:val="400F7D722F064712A2CC27730188B9A9"/>
    <w:rsid w:val="001F2720"/>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227</TotalTime>
  <Pages>1</Pages>
  <Words>275</Words>
  <Characters>1516</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Résume</vt:lpstr>
    </vt:vector>
  </TitlesOfParts>
  <Company>Windows-Trust</Company>
  <LinksUpToDate>false</LinksUpToDate>
  <CharactersWithSpaces>1788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Résume</dc:title>
  <dc:subject/>
  <dc:creator>Enigma</dc:creator>
  <cp:keywords/>
  <dc:description/>
  <cp:lastModifiedBy>Abderrezak</cp:lastModifiedBy>
  <cp:revision>8</cp:revision>
  <dcterms:created xsi:type="dcterms:W3CDTF">2010-11-24T20:20:00Z</dcterms:created>
  <dcterms:modified xsi:type="dcterms:W3CDTF">2011-02-01T10:46:00Z</dcterms:modified>
</cp:coreProperties>
</file>