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47AFF" w:rsidRDefault="00E47AFF" w:rsidP="00804AE5">
      <w:pPr>
        <w:spacing w:after="0" w:line="240" w:lineRule="auto"/>
        <w:ind w:firstLine="0"/>
        <w:rPr>
          <w:b/>
          <w:color w:val="000000" w:themeColor="text1"/>
        </w:rPr>
      </w:pPr>
      <w:r w:rsidRPr="00DC452C">
        <w:rPr>
          <w:b/>
          <w:color w:val="000000" w:themeColor="text1"/>
          <w:sz w:val="32"/>
          <w:szCs w:val="32"/>
          <w:u w:val="single"/>
        </w:rPr>
        <w:t xml:space="preserve">Résumé </w:t>
      </w:r>
      <w:r w:rsidRPr="00F3771E">
        <w:rPr>
          <w:b/>
          <w:color w:val="000000" w:themeColor="text1"/>
        </w:rPr>
        <w:t>:</w:t>
      </w:r>
    </w:p>
    <w:p w:rsidR="00DC452C" w:rsidRDefault="00DC452C" w:rsidP="00804AE5">
      <w:pPr>
        <w:tabs>
          <w:tab w:val="left" w:pos="709"/>
        </w:tabs>
        <w:spacing w:after="0" w:line="240" w:lineRule="auto"/>
      </w:pPr>
    </w:p>
    <w:p w:rsidR="00E47AFF" w:rsidRDefault="00E47AFF" w:rsidP="00804AE5">
      <w:pPr>
        <w:tabs>
          <w:tab w:val="left" w:pos="709"/>
        </w:tabs>
        <w:spacing w:after="0" w:line="240" w:lineRule="auto"/>
      </w:pPr>
      <w:r w:rsidRPr="00B1157E">
        <w:t>De la mise en œuvre des procédés de préparation de</w:t>
      </w:r>
      <w:r>
        <w:t xml:space="preserve">s </w:t>
      </w:r>
      <w:r w:rsidRPr="00B1157E">
        <w:t>(</w:t>
      </w:r>
      <w:proofErr w:type="spellStart"/>
      <w:r w:rsidRPr="00B1157E">
        <w:t>co</w:t>
      </w:r>
      <w:proofErr w:type="spellEnd"/>
      <w:r w:rsidRPr="00B1157E">
        <w:t>)poly(amide-</w:t>
      </w:r>
      <w:proofErr w:type="spellStart"/>
      <w:r w:rsidRPr="00B1157E">
        <w:t>thioamides</w:t>
      </w:r>
      <w:proofErr w:type="spellEnd"/>
      <w:r w:rsidRPr="00B1157E">
        <w:t xml:space="preserve">)s </w:t>
      </w:r>
      <w:r>
        <w:t xml:space="preserve">de (type 1 et 2 ) </w:t>
      </w:r>
      <w:r w:rsidRPr="00B1157E">
        <w:t>et le</w:t>
      </w:r>
      <w:r>
        <w:t xml:space="preserve"> </w:t>
      </w:r>
      <w:proofErr w:type="spellStart"/>
      <w:r w:rsidRPr="00B1157E">
        <w:t>polythioamide</w:t>
      </w:r>
      <w:proofErr w:type="spellEnd"/>
      <w:r w:rsidRPr="00B1157E">
        <w:t xml:space="preserve"> </w:t>
      </w:r>
      <w:r>
        <w:t xml:space="preserve">semi aromatiques </w:t>
      </w:r>
      <w:r w:rsidRPr="00B1157E">
        <w:t>à partir d</w:t>
      </w:r>
      <w:r>
        <w:t>es</w:t>
      </w:r>
      <w:r w:rsidRPr="00B1157E">
        <w:t xml:space="preserve"> bis(</w:t>
      </w:r>
      <w:proofErr w:type="spellStart"/>
      <w:r w:rsidRPr="00B1157E">
        <w:t>dithioester</w:t>
      </w:r>
      <w:proofErr w:type="spellEnd"/>
      <w:r w:rsidRPr="00B1157E">
        <w:t>)</w:t>
      </w:r>
      <w:r>
        <w:t>s aromatique</w:t>
      </w:r>
      <w:r w:rsidRPr="00B1157E">
        <w:t xml:space="preserve">. Les résultats de caractérisation de ces synthèses montrent que les matériaux préparés présentent des surfaces spécifiques et des stabilités thermiques élevées. </w:t>
      </w:r>
      <w:r>
        <w:t xml:space="preserve">Les </w:t>
      </w:r>
      <w:r w:rsidRPr="00B1157E">
        <w:t>surface</w:t>
      </w:r>
      <w:r>
        <w:t>s</w:t>
      </w:r>
      <w:r w:rsidRPr="00B1157E">
        <w:t xml:space="preserve"> spécifique</w:t>
      </w:r>
      <w:r>
        <w:t>s</w:t>
      </w:r>
      <w:r w:rsidRPr="00B1157E">
        <w:t xml:space="preserve"> </w:t>
      </w:r>
      <w:r>
        <w:t>ont</w:t>
      </w:r>
      <w:r w:rsidRPr="00B1157E">
        <w:t xml:space="preserve"> été obtenues</w:t>
      </w:r>
      <w:r>
        <w:t xml:space="preserve"> </w:t>
      </w:r>
      <w:r w:rsidRPr="00B1157E">
        <w:t>en milieu aqueux à température ambiante</w:t>
      </w:r>
      <w:r>
        <w:t>.</w:t>
      </w:r>
      <w:r w:rsidRPr="00B1157E">
        <w:t xml:space="preserve"> L’avantage de nos méthodes de synthèse est l’utilisation </w:t>
      </w:r>
      <w:r>
        <w:t xml:space="preserve">de </w:t>
      </w:r>
      <w:r w:rsidRPr="00B1157E">
        <w:t>la méthode de Davy</w:t>
      </w:r>
      <w:r>
        <w:t xml:space="preserve"> pour la préparation du réactif d</w:t>
      </w:r>
      <w:r w:rsidRPr="00B1157E">
        <w:t xml:space="preserve">e </w:t>
      </w:r>
      <w:proofErr w:type="gramStart"/>
      <w:r w:rsidRPr="00B1157E">
        <w:t>bis(</w:t>
      </w:r>
      <w:proofErr w:type="spellStart"/>
      <w:proofErr w:type="gramEnd"/>
      <w:r w:rsidRPr="00B1157E">
        <w:t>dithioester</w:t>
      </w:r>
      <w:proofErr w:type="spellEnd"/>
      <w:r w:rsidRPr="00B1157E">
        <w:t>)</w:t>
      </w:r>
      <w:r>
        <w:t>s</w:t>
      </w:r>
      <w:r w:rsidRPr="00B1157E">
        <w:t xml:space="preserve"> </w:t>
      </w:r>
      <w:r>
        <w:t>indispensable dans toutes nos synthèses</w:t>
      </w:r>
      <w:r w:rsidRPr="00B1157E">
        <w:t>. Les matériaux-</w:t>
      </w:r>
      <w:proofErr w:type="spellStart"/>
      <w:r w:rsidRPr="00B1157E">
        <w:t>thioamides</w:t>
      </w:r>
      <w:proofErr w:type="spellEnd"/>
      <w:r>
        <w:t xml:space="preserve"> qui</w:t>
      </w:r>
      <w:r w:rsidRPr="00B1157E">
        <w:t xml:space="preserve"> en résultent sont économiques et propice aux traitements environnementaux.</w:t>
      </w:r>
    </w:p>
    <w:p w:rsidR="00E47AFF" w:rsidRDefault="00E47AFF" w:rsidP="00804AE5">
      <w:pPr>
        <w:spacing w:after="0" w:line="240" w:lineRule="auto"/>
      </w:pPr>
      <w:r w:rsidRPr="00101CAE">
        <w:t>La</w:t>
      </w:r>
      <w:r>
        <w:t xml:space="preserve"> présence de la fonction</w:t>
      </w:r>
      <w:r w:rsidRPr="00101CAE">
        <w:t xml:space="preserve"> </w:t>
      </w:r>
      <w:r>
        <w:t>(</w:t>
      </w:r>
      <w:proofErr w:type="spellStart"/>
      <w:r>
        <w:t>thioamide</w:t>
      </w:r>
      <w:proofErr w:type="spellEnd"/>
      <w:r w:rsidRPr="00AF4F29">
        <w:t xml:space="preserve"> </w:t>
      </w:r>
      <w:r>
        <w:t xml:space="preserve">ou/et amide) </w:t>
      </w:r>
      <w:r w:rsidRPr="00101CAE">
        <w:t>dans la structure des solides acquérait à ces derniers des</w:t>
      </w:r>
      <w:r>
        <w:t xml:space="preserve"> </w:t>
      </w:r>
      <w:r w:rsidRPr="00101CAE">
        <w:t>propriétés physico-chimiques dans le processus d’adsorption. Cette nouvelle</w:t>
      </w:r>
      <w:r>
        <w:t xml:space="preserve"> </w:t>
      </w:r>
      <w:r w:rsidRPr="00101CAE">
        <w:t xml:space="preserve">procédure de synthèse ouvre la voie à la production des </w:t>
      </w:r>
      <w:r>
        <w:t xml:space="preserve">copolymères </w:t>
      </w:r>
      <w:r w:rsidRPr="00101CAE">
        <w:t>contenant de multiples</w:t>
      </w:r>
      <w:r>
        <w:t xml:space="preserve"> </w:t>
      </w:r>
      <w:r w:rsidRPr="00101CAE">
        <w:t xml:space="preserve">fonctions </w:t>
      </w:r>
      <w:proofErr w:type="spellStart"/>
      <w:r w:rsidRPr="00101CAE">
        <w:t>complexantes</w:t>
      </w:r>
      <w:proofErr w:type="spellEnd"/>
      <w:r w:rsidRPr="00101CAE">
        <w:t>.</w:t>
      </w:r>
    </w:p>
    <w:p w:rsidR="00E47AFF" w:rsidRDefault="00E47AFF" w:rsidP="00804AE5">
      <w:pPr>
        <w:spacing w:after="0" w:line="240" w:lineRule="auto"/>
      </w:pPr>
      <w:r w:rsidRPr="00101F9E">
        <w:t>L’étude comparative de l’adsorption des ions (</w:t>
      </w:r>
      <w:r>
        <w:t>Cu (II), Cd (II) et Zn (II)</w:t>
      </w:r>
      <w:r w:rsidRPr="007E785B">
        <w:t>)</w:t>
      </w:r>
      <w:r>
        <w:t xml:space="preserve"> </w:t>
      </w:r>
      <w:r w:rsidRPr="00101F9E">
        <w:t>pris séparément sur</w:t>
      </w:r>
      <w:r>
        <w:t xml:space="preserve"> le (</w:t>
      </w:r>
      <w:proofErr w:type="spellStart"/>
      <w:r>
        <w:t>co</w:t>
      </w:r>
      <w:proofErr w:type="spellEnd"/>
      <w:r>
        <w:t>)</w:t>
      </w:r>
      <w:proofErr w:type="gramStart"/>
      <w:r>
        <w:t>poly(</w:t>
      </w:r>
      <w:proofErr w:type="gramEnd"/>
      <w:r>
        <w:t>amide-</w:t>
      </w:r>
      <w:proofErr w:type="spellStart"/>
      <w:r>
        <w:t>thioamide</w:t>
      </w:r>
      <w:proofErr w:type="spellEnd"/>
      <w:r>
        <w:t>)</w:t>
      </w:r>
      <w:r w:rsidRPr="00101F9E">
        <w:t xml:space="preserve"> </w:t>
      </w:r>
      <w:r>
        <w:t>1 noté (</w:t>
      </w:r>
      <w:proofErr w:type="spellStart"/>
      <w:r>
        <w:t>coPATA</w:t>
      </w:r>
      <w:proofErr w:type="spellEnd"/>
      <w:r>
        <w:t xml:space="preserve"> 1) qui présent une tendance mésophases à cristal liquide</w:t>
      </w:r>
      <w:r w:rsidRPr="00101F9E">
        <w:t xml:space="preserve"> et le </w:t>
      </w:r>
      <w:proofErr w:type="spellStart"/>
      <w:r>
        <w:t>polythioamide</w:t>
      </w:r>
      <w:proofErr w:type="spellEnd"/>
      <w:r>
        <w:t xml:space="preserve"> 1</w:t>
      </w:r>
      <w:r w:rsidRPr="00101F9E">
        <w:t xml:space="preserve"> </w:t>
      </w:r>
      <w:r>
        <w:t xml:space="preserve">(PTA 1) d’une structure amorphe, </w:t>
      </w:r>
      <w:r w:rsidRPr="00101F9E">
        <w:t>a montré l’effet de la surface</w:t>
      </w:r>
      <w:r>
        <w:t xml:space="preserve"> </w:t>
      </w:r>
      <w:r w:rsidRPr="00101F9E">
        <w:t>spécifique d</w:t>
      </w:r>
      <w:r>
        <w:t>es deux matériaux</w:t>
      </w:r>
      <w:r w:rsidRPr="00AF4F29">
        <w:t xml:space="preserve">. En effet, l’élimination des ions </w:t>
      </w:r>
      <w:r>
        <w:t xml:space="preserve">Cu (II), </w:t>
      </w:r>
      <w:r>
        <w:br/>
        <w:t>Cd (II) et Zn (II)</w:t>
      </w:r>
      <w:r w:rsidRPr="00AF4F29">
        <w:t xml:space="preserve"> par </w:t>
      </w:r>
      <w:r>
        <w:t>c</w:t>
      </w:r>
      <w:r w:rsidRPr="00AF4F29">
        <w:t>e</w:t>
      </w:r>
      <w:r>
        <w:t>s</w:t>
      </w:r>
      <w:r w:rsidRPr="00AF4F29">
        <w:t xml:space="preserve"> </w:t>
      </w:r>
      <w:r>
        <w:t>deux polymères e</w:t>
      </w:r>
      <w:r w:rsidRPr="00AF4F29">
        <w:t xml:space="preserve">st </w:t>
      </w:r>
      <w:r>
        <w:t>rentable (80-97 %)</w:t>
      </w:r>
      <w:r w:rsidRPr="00AF4F29">
        <w:t xml:space="preserve">, </w:t>
      </w:r>
      <w:r>
        <w:t>l</w:t>
      </w:r>
      <w:r w:rsidRPr="005612CC">
        <w:t>a capacité maximale d'adsorption (</w:t>
      </w:r>
      <w:proofErr w:type="spellStart"/>
      <w:r w:rsidRPr="005612CC">
        <w:t>q</w:t>
      </w:r>
      <w:r w:rsidRPr="005612CC">
        <w:rPr>
          <w:vertAlign w:val="subscript"/>
        </w:rPr>
        <w:t>m</w:t>
      </w:r>
      <w:proofErr w:type="spellEnd"/>
      <w:r w:rsidRPr="005612CC">
        <w:t xml:space="preserve">) obtenue par l'isotherme de Langmuir pour Cd (II) était supérieure aux valeurs trouvées pour Cu (II) et Zn (II), montrant l'ordre de capacité </w:t>
      </w:r>
      <w:r>
        <w:t xml:space="preserve">d’adsorption </w:t>
      </w:r>
      <w:r w:rsidRPr="005612CC">
        <w:t>suivant:</w:t>
      </w:r>
      <w:r>
        <w:br/>
      </w:r>
      <w:r w:rsidRPr="005612CC">
        <w:t xml:space="preserve"> Cd (II)</w:t>
      </w:r>
      <w:r>
        <w:t xml:space="preserve"> &gt; </w:t>
      </w:r>
      <w:r w:rsidRPr="005612CC">
        <w:t>Cu (II)</w:t>
      </w:r>
      <w:r>
        <w:t xml:space="preserve"> </w:t>
      </w:r>
      <w:r w:rsidRPr="005612CC">
        <w:t>&gt; Zn (II).</w:t>
      </w:r>
    </w:p>
    <w:p w:rsidR="00E47AFF" w:rsidRDefault="00E47AFF" w:rsidP="00804AE5">
      <w:pPr>
        <w:spacing w:after="0" w:line="240" w:lineRule="auto"/>
      </w:pPr>
      <w:r w:rsidRPr="0032648C">
        <w:t xml:space="preserve">L’étude relative à la rétention du </w:t>
      </w:r>
      <w:r>
        <w:t xml:space="preserve">Fer (II) </w:t>
      </w:r>
      <w:r w:rsidRPr="0032648C">
        <w:t>sur le</w:t>
      </w:r>
      <w:r w:rsidR="00804AE5">
        <w:t>s</w:t>
      </w:r>
      <w:r w:rsidRPr="0032648C">
        <w:t xml:space="preserve"> </w:t>
      </w:r>
      <w:r>
        <w:t>(</w:t>
      </w:r>
      <w:proofErr w:type="spellStart"/>
      <w:r>
        <w:t>co</w:t>
      </w:r>
      <w:proofErr w:type="spellEnd"/>
      <w:r>
        <w:t>)</w:t>
      </w:r>
      <w:proofErr w:type="gramStart"/>
      <w:r>
        <w:t>poly(</w:t>
      </w:r>
      <w:proofErr w:type="gramEnd"/>
      <w:r>
        <w:t>amide-</w:t>
      </w:r>
      <w:proofErr w:type="spellStart"/>
      <w:r>
        <w:t>thioamide</w:t>
      </w:r>
      <w:proofErr w:type="spellEnd"/>
      <w:r>
        <w:t xml:space="preserve">)s à base d’acides aminé naturels ou non </w:t>
      </w:r>
      <w:r w:rsidRPr="0027493E">
        <w:t>naturels a structure amorphe ont été aussi</w:t>
      </w:r>
      <w:r w:rsidRPr="0032648C">
        <w:t xml:space="preserve"> entrepr</w:t>
      </w:r>
      <w:r>
        <w:t>ises</w:t>
      </w:r>
      <w:r w:rsidRPr="0032648C">
        <w:t xml:space="preserve">. La capacité de rétention du </w:t>
      </w:r>
      <w:r>
        <w:t>Fe (II</w:t>
      </w:r>
      <w:proofErr w:type="gramStart"/>
      <w:r>
        <w:t xml:space="preserve">) </w:t>
      </w:r>
      <w:r w:rsidRPr="0032648C">
        <w:t xml:space="preserve"> </w:t>
      </w:r>
      <w:r>
        <w:t>pourrait</w:t>
      </w:r>
      <w:proofErr w:type="gramEnd"/>
      <w:r>
        <w:t xml:space="preserve"> être considérée comme prometteurs (60-77 %), et l</w:t>
      </w:r>
      <w:r w:rsidRPr="00064C7E">
        <w:t xml:space="preserve">es </w:t>
      </w:r>
      <w:r>
        <w:t xml:space="preserve">valeurs de la </w:t>
      </w:r>
      <w:r w:rsidRPr="00064C7E">
        <w:t xml:space="preserve">capacités </w:t>
      </w:r>
      <w:r w:rsidRPr="005612CC">
        <w:t>maximale d'adsorption</w:t>
      </w:r>
      <w:r w:rsidRPr="00F944B9">
        <w:t xml:space="preserve"> </w:t>
      </w:r>
      <w:r w:rsidRPr="0032648C">
        <w:t xml:space="preserve">du </w:t>
      </w:r>
      <w:r w:rsidR="00804AE5">
        <w:t>Fe (II)</w:t>
      </w:r>
      <w:r w:rsidRPr="00064C7E">
        <w:t xml:space="preserve"> </w:t>
      </w:r>
      <w:r>
        <w:t>sur ces (</w:t>
      </w:r>
      <w:proofErr w:type="spellStart"/>
      <w:r>
        <w:t>co</w:t>
      </w:r>
      <w:proofErr w:type="spellEnd"/>
      <w:r>
        <w:t>)poly(amide-</w:t>
      </w:r>
      <w:proofErr w:type="spellStart"/>
      <w:r>
        <w:t>thioamide</w:t>
      </w:r>
      <w:proofErr w:type="spellEnd"/>
      <w:r>
        <w:t>)s sont presque les mêmes.</w:t>
      </w:r>
      <w:r w:rsidRPr="002168D0">
        <w:t xml:space="preserve"> </w:t>
      </w:r>
      <w:r>
        <w:t>Les isothermes expérimentales obtenues sont de type L pour tous les systèmes étudiés.</w:t>
      </w:r>
    </w:p>
    <w:p w:rsidR="00E47AFF" w:rsidRDefault="00E47AFF" w:rsidP="00804AE5">
      <w:pPr>
        <w:spacing w:after="0" w:line="240" w:lineRule="auto"/>
      </w:pPr>
      <w:r>
        <w:t>Nous avons remarqué que l</w:t>
      </w:r>
      <w:r w:rsidRPr="00651E48">
        <w:t xml:space="preserve">e modèle de Langmuir </w:t>
      </w:r>
      <w:r>
        <w:t xml:space="preserve">est conforme pour tous </w:t>
      </w:r>
      <w:r w:rsidRPr="00651E48">
        <w:t>le</w:t>
      </w:r>
      <w:r>
        <w:t>s</w:t>
      </w:r>
      <w:r w:rsidRPr="00651E48">
        <w:t xml:space="preserve"> processus d’adsorption des</w:t>
      </w:r>
      <w:r>
        <w:t xml:space="preserve"> </w:t>
      </w:r>
      <w:r w:rsidRPr="00651E48">
        <w:t xml:space="preserve">ions </w:t>
      </w:r>
      <w:r>
        <w:t xml:space="preserve">métalliques choisis, sur les adsorbants étudiés, et ceci en </w:t>
      </w:r>
      <w:r w:rsidRPr="00651E48">
        <w:t>nous basant sur les coefficients de corrélation R² relatifs à la linéarité des</w:t>
      </w:r>
      <w:r>
        <w:t xml:space="preserve"> </w:t>
      </w:r>
      <w:r w:rsidRPr="00651E48">
        <w:t>droit</w:t>
      </w:r>
      <w:r>
        <w:t>es des isothermes d’adsorption.</w:t>
      </w:r>
    </w:p>
    <w:p w:rsidR="00E47AFF" w:rsidRPr="00244195" w:rsidRDefault="00E47AFF" w:rsidP="00804AE5">
      <w:pPr>
        <w:spacing w:after="0" w:line="240" w:lineRule="auto"/>
      </w:pPr>
      <w:r w:rsidRPr="00490119">
        <w:t xml:space="preserve">La cinétique d’adsorption </w:t>
      </w:r>
      <w:r>
        <w:t>de Cu (II), Cd (II) et Zn (II)</w:t>
      </w:r>
      <w:r w:rsidRPr="007E785B">
        <w:t>)</w:t>
      </w:r>
      <w:r>
        <w:t xml:space="preserve"> </w:t>
      </w:r>
      <w:r w:rsidRPr="00101F9E">
        <w:t>sur</w:t>
      </w:r>
      <w:r>
        <w:t xml:space="preserve"> le </w:t>
      </w:r>
      <w:proofErr w:type="spellStart"/>
      <w:r>
        <w:t>coPATA</w:t>
      </w:r>
      <w:proofErr w:type="spellEnd"/>
      <w:r w:rsidRPr="00101F9E">
        <w:t xml:space="preserve"> </w:t>
      </w:r>
      <w:r w:rsidR="00EB74E3">
        <w:t xml:space="preserve">1 </w:t>
      </w:r>
      <w:r w:rsidRPr="00101F9E">
        <w:t xml:space="preserve">et le </w:t>
      </w:r>
      <w:r>
        <w:t>PTA</w:t>
      </w:r>
      <w:r w:rsidR="00EB74E3">
        <w:t xml:space="preserve"> 1</w:t>
      </w:r>
      <w:r>
        <w:t xml:space="preserve"> </w:t>
      </w:r>
      <w:r w:rsidRPr="00490119">
        <w:t>pourrait être considérée comme</w:t>
      </w:r>
      <w:r>
        <w:t xml:space="preserve"> du pseudo second ordre</w:t>
      </w:r>
      <w:r w:rsidRPr="00244195">
        <w:t xml:space="preserve">, </w:t>
      </w:r>
      <w:r>
        <w:t>aussi l</w:t>
      </w:r>
      <w:r w:rsidRPr="00064C7E">
        <w:t xml:space="preserve">’adsorption du </w:t>
      </w:r>
      <w:r>
        <w:t>Fe (II)</w:t>
      </w:r>
      <w:r w:rsidRPr="00064C7E">
        <w:t xml:space="preserve"> sur </w:t>
      </w:r>
      <w:r>
        <w:t>le</w:t>
      </w:r>
      <w:r w:rsidRPr="00064C7E">
        <w:t xml:space="preserve"> </w:t>
      </w:r>
      <w:proofErr w:type="spellStart"/>
      <w:r w:rsidRPr="00BE6F27">
        <w:t>coPAla</w:t>
      </w:r>
      <w:r>
        <w:t>B</w:t>
      </w:r>
      <w:r w:rsidRPr="00BE6F27">
        <w:t>daBde</w:t>
      </w:r>
      <w:proofErr w:type="spellEnd"/>
      <w:r w:rsidRPr="00BE6F27">
        <w:t xml:space="preserve">, </w:t>
      </w:r>
      <w:proofErr w:type="spellStart"/>
      <w:r w:rsidRPr="00BE6F27">
        <w:t>coPLeu</w:t>
      </w:r>
      <w:r>
        <w:t>B</w:t>
      </w:r>
      <w:r w:rsidRPr="00BE6F27">
        <w:t>daBde</w:t>
      </w:r>
      <w:proofErr w:type="spellEnd"/>
      <w:r>
        <w:t xml:space="preserve"> et</w:t>
      </w:r>
      <w:r w:rsidRPr="00BE6F27">
        <w:t xml:space="preserve"> </w:t>
      </w:r>
      <w:proofErr w:type="spellStart"/>
      <w:r w:rsidRPr="00BE6F27">
        <w:t>coPPh</w:t>
      </w:r>
      <w:r>
        <w:t>a</w:t>
      </w:r>
      <w:r w:rsidRPr="00BE6F27">
        <w:t>la</w:t>
      </w:r>
      <w:r>
        <w:t>B</w:t>
      </w:r>
      <w:r w:rsidRPr="00BE6F27">
        <w:t>daBde</w:t>
      </w:r>
      <w:proofErr w:type="spellEnd"/>
      <w:r w:rsidRPr="00BE6F27">
        <w:t xml:space="preserve"> </w:t>
      </w:r>
      <w:r>
        <w:t>est</w:t>
      </w:r>
      <w:r w:rsidRPr="00064C7E">
        <w:t xml:space="preserve"> considérée comme</w:t>
      </w:r>
      <w:r>
        <w:t xml:space="preserve"> </w:t>
      </w:r>
      <w:r w:rsidRPr="00064C7E">
        <w:t>du pseudo second ordre, la cinétique est du pseudo premier ordre</w:t>
      </w:r>
      <w:r>
        <w:t xml:space="preserve"> pour le </w:t>
      </w:r>
      <w:proofErr w:type="spellStart"/>
      <w:r w:rsidRPr="00BE6F27">
        <w:t>coPPh</w:t>
      </w:r>
      <w:r>
        <w:t>g</w:t>
      </w:r>
      <w:r w:rsidRPr="00BE6F27">
        <w:t>ly</w:t>
      </w:r>
      <w:r>
        <w:t>B</w:t>
      </w:r>
      <w:r w:rsidRPr="00BE6F27">
        <w:t>daBde</w:t>
      </w:r>
      <w:proofErr w:type="spellEnd"/>
      <w:r>
        <w:t>.</w:t>
      </w:r>
      <w:r w:rsidRPr="00064C7E">
        <w:t xml:space="preserve"> </w:t>
      </w:r>
    </w:p>
    <w:p w:rsidR="00804AE5" w:rsidRDefault="00804AE5" w:rsidP="00804AE5">
      <w:pPr>
        <w:spacing w:line="240" w:lineRule="auto"/>
        <w:ind w:firstLine="0"/>
        <w:outlineLvl w:val="0"/>
      </w:pPr>
      <w:bookmarkStart w:id="0" w:name="_GoBack"/>
      <w:bookmarkEnd w:id="0"/>
    </w:p>
    <w:sectPr w:rsidR="00804AE5" w:rsidSect="00F708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E47AFF"/>
    <w:rsid w:val="00417BA8"/>
    <w:rsid w:val="00804AE5"/>
    <w:rsid w:val="00982B2D"/>
    <w:rsid w:val="00A92A23"/>
    <w:rsid w:val="00BB1E79"/>
    <w:rsid w:val="00DC452C"/>
    <w:rsid w:val="00E47AFF"/>
    <w:rsid w:val="00EB74E3"/>
    <w:rsid w:val="00F07FC0"/>
    <w:rsid w:val="00F708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733A489-8907-43EF-9EB9-E1FA9A4FA4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47AFF"/>
    <w:pPr>
      <w:spacing w:line="360" w:lineRule="auto"/>
      <w:ind w:firstLine="708"/>
      <w:jc w:val="both"/>
    </w:pPr>
    <w:rPr>
      <w:rFonts w:ascii="Times New Roman" w:hAnsi="Times New Roman" w:cs="Times New Roman"/>
      <w:bCs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E47AF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1</Pages>
  <Words>423</Words>
  <Characters>2328</Characters>
  <Application>Microsoft Office Word</Application>
  <DocSecurity>0</DocSecurity>
  <Lines>19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Equinoxe</dc:creator>
  <cp:lastModifiedBy>naima</cp:lastModifiedBy>
  <cp:revision>6</cp:revision>
  <dcterms:created xsi:type="dcterms:W3CDTF">2018-03-14T17:00:00Z</dcterms:created>
  <dcterms:modified xsi:type="dcterms:W3CDTF">2018-06-25T13:05:00Z</dcterms:modified>
</cp:coreProperties>
</file>