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B01C0" w:rsidRPr="008B01C0" w:rsidRDefault="000C0FAA" w:rsidP="008B01C0">
      <w:pPr>
        <w:spacing w:after="0" w:line="240" w:lineRule="auto"/>
        <w:ind w:firstLine="567"/>
        <w:jc w:val="center"/>
        <w:rPr>
          <w:b/>
          <w:bCs/>
          <w:sz w:val="20"/>
          <w:szCs w:val="20"/>
          <w:u w:val="single"/>
        </w:rPr>
      </w:pPr>
      <w:r>
        <w:rPr>
          <w:rFonts w:asciiTheme="majorBidi" w:hAnsiTheme="majorBidi" w:cstheme="majorBidi"/>
          <w:b/>
          <w:bCs/>
          <w:noProof/>
          <w:sz w:val="20"/>
          <w:szCs w:val="20"/>
          <w:u w:val="single"/>
          <w:lang w:eastAsia="fr-FR"/>
        </w:rPr>
        <mc:AlternateContent>
          <mc:Choice Requires="wps">
            <w:drawing>
              <wp:anchor distT="0" distB="0" distL="114300" distR="114300" simplePos="0" relativeHeight="251659264" behindDoc="0" locked="0" layoutInCell="1" allowOverlap="1">
                <wp:simplePos x="0" y="0"/>
                <wp:positionH relativeFrom="column">
                  <wp:posOffset>-137574</wp:posOffset>
                </wp:positionH>
                <wp:positionV relativeFrom="paragraph">
                  <wp:posOffset>-215983</wp:posOffset>
                </wp:positionV>
                <wp:extent cx="6599582" cy="8571506"/>
                <wp:effectExtent l="0" t="0" r="10795" b="20320"/>
                <wp:wrapNone/>
                <wp:docPr id="1" name="Rectangle 1"/>
                <wp:cNvGraphicFramePr/>
                <a:graphic xmlns:a="http://schemas.openxmlformats.org/drawingml/2006/main">
                  <a:graphicData uri="http://schemas.microsoft.com/office/word/2010/wordprocessingShape">
                    <wps:wsp>
                      <wps:cNvSpPr/>
                      <wps:spPr>
                        <a:xfrm>
                          <a:off x="0" y="0"/>
                          <a:ext cx="6599582" cy="8571506"/>
                        </a:xfrm>
                        <a:prstGeom prst="rect">
                          <a:avLst/>
                        </a:prstGeom>
                        <a:noFill/>
                        <a:ln w="127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CD2554" id="Rectangle 1" o:spid="_x0000_s1026" style="position:absolute;margin-left:-10.85pt;margin-top:-17pt;width:519.65pt;height:674.9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" filled="f" strokecolor="black [3213]" strokeweight="1pt"/>
            </w:pict>
          </mc:Fallback>
        </mc:AlternateContent>
      </w:r>
      <w:r w:rsidR="008B01C0" w:rsidRPr="008B01C0">
        <w:rPr>
          <w:rFonts w:asciiTheme="majorBidi" w:hAnsiTheme="majorBidi" w:cstheme="majorBidi"/>
          <w:b/>
          <w:bCs/>
          <w:sz w:val="20"/>
          <w:szCs w:val="20"/>
          <w:u w:val="single"/>
        </w:rPr>
        <w:t>Résumé</w:t>
      </w:r>
    </w:p>
    <w:p w:rsidR="008B01C0" w:rsidRPr="008B01C0" w:rsidRDefault="008B01C0" w:rsidP="008B01C0">
      <w:pPr>
        <w:spacing w:after="0" w:line="240" w:lineRule="auto"/>
        <w:ind w:firstLine="284"/>
        <w:jc w:val="both"/>
        <w:rPr>
          <w:rFonts w:asciiTheme="majorBidi" w:hAnsiTheme="majorBidi" w:cstheme="majorBidi"/>
          <w:sz w:val="20"/>
          <w:szCs w:val="20"/>
        </w:rPr>
      </w:pPr>
    </w:p>
    <w:p w:rsidR="008B01C0" w:rsidRPr="008B01C0" w:rsidRDefault="008B01C0" w:rsidP="008B01C0">
      <w:pPr>
        <w:spacing w:after="0"/>
        <w:ind w:firstLine="540"/>
        <w:jc w:val="both"/>
        <w:rPr>
          <w:sz w:val="20"/>
          <w:szCs w:val="20"/>
        </w:rPr>
      </w:pPr>
      <w:r w:rsidRPr="008B01C0">
        <w:rPr>
          <w:rFonts w:asciiTheme="majorBidi" w:hAnsiTheme="majorBidi" w:cstheme="majorBidi"/>
          <w:sz w:val="20"/>
          <w:szCs w:val="20"/>
        </w:rPr>
        <w:t>Trois séries d’oxydes à base de vanadium de type : 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5</w:t>
      </w:r>
      <w:r w:rsidRPr="008B01C0">
        <w:rPr>
          <w:rFonts w:asciiTheme="majorBidi" w:hAnsiTheme="majorBidi" w:cstheme="majorBidi"/>
          <w:sz w:val="20"/>
          <w:szCs w:val="20"/>
        </w:rPr>
        <w:t xml:space="preserve">-MgO, </w:t>
      </w:r>
      <w:bookmarkStart w:id="0" w:name="__DdeLink__343_1833129870"/>
      <w:r w:rsidRPr="008B01C0">
        <w:rPr>
          <w:rFonts w:asciiTheme="majorBidi" w:hAnsiTheme="majorBidi" w:cstheme="majorBidi"/>
          <w:sz w:val="20"/>
          <w:szCs w:val="20"/>
        </w:rPr>
        <w:t>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5</w:t>
      </w:r>
      <w:r w:rsidRPr="008B01C0">
        <w:rPr>
          <w:rFonts w:asciiTheme="majorBidi" w:hAnsiTheme="majorBidi" w:cstheme="majorBidi"/>
          <w:sz w:val="20"/>
          <w:szCs w:val="20"/>
        </w:rPr>
        <w:t>-SiO</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 xml:space="preserve"> et 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5</w:t>
      </w:r>
      <w:r w:rsidRPr="008B01C0">
        <w:rPr>
          <w:rFonts w:asciiTheme="majorBidi" w:hAnsiTheme="majorBidi" w:cstheme="majorBidi"/>
          <w:sz w:val="20"/>
          <w:szCs w:val="20"/>
        </w:rPr>
        <w:t>-MgO-SiO</w:t>
      </w:r>
      <w:r w:rsidRPr="008B01C0">
        <w:rPr>
          <w:rFonts w:asciiTheme="majorBidi" w:hAnsiTheme="majorBidi" w:cstheme="majorBidi"/>
          <w:sz w:val="20"/>
          <w:szCs w:val="20"/>
          <w:vertAlign w:val="subscript"/>
        </w:rPr>
        <w:t>2</w:t>
      </w:r>
      <w:bookmarkEnd w:id="0"/>
      <w:r w:rsidRPr="008B01C0">
        <w:rPr>
          <w:rFonts w:asciiTheme="majorBidi" w:hAnsiTheme="majorBidi" w:cstheme="majorBidi"/>
          <w:sz w:val="20"/>
          <w:szCs w:val="20"/>
        </w:rPr>
        <w:t xml:space="preserve"> avec différentes teneurs en vanadium ont été synthétisées par les méthodes d’imprégnation et sol-gel. Leurs propriétés physico-chimiques ont été étudiées par différentes techniques d’analyses (ATG, DRX, Raman, BET, TPR-H</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 NH</w:t>
      </w:r>
      <w:r w:rsidRPr="008B01C0">
        <w:rPr>
          <w:rFonts w:asciiTheme="majorBidi" w:hAnsiTheme="majorBidi" w:cstheme="majorBidi"/>
          <w:sz w:val="20"/>
          <w:szCs w:val="20"/>
          <w:vertAlign w:val="subscript"/>
        </w:rPr>
        <w:t>3</w:t>
      </w:r>
      <w:r w:rsidRPr="008B01C0">
        <w:rPr>
          <w:rFonts w:asciiTheme="majorBidi" w:hAnsiTheme="majorBidi" w:cstheme="majorBidi"/>
          <w:sz w:val="20"/>
          <w:szCs w:val="20"/>
        </w:rPr>
        <w:t xml:space="preserve">-TPD, MET-EDX et XPS) et leurs performances catalytiques ont été évaluées dans deux réactions qui sont la décomposition de l’isopropanol afin </w:t>
      </w:r>
      <w:r>
        <w:rPr>
          <w:rFonts w:asciiTheme="majorBidi" w:hAnsiTheme="majorBidi" w:cstheme="majorBidi"/>
          <w:sz w:val="20"/>
          <w:szCs w:val="20"/>
        </w:rPr>
        <w:t xml:space="preserve">       </w:t>
      </w:r>
      <w:r w:rsidRPr="008B01C0">
        <w:rPr>
          <w:rFonts w:asciiTheme="majorBidi" w:hAnsiTheme="majorBidi" w:cstheme="majorBidi"/>
          <w:sz w:val="20"/>
          <w:szCs w:val="20"/>
        </w:rPr>
        <w:t>de déterminer leur caractère acido-basique de surface et dans la déshydrogénation oxydante du n-butane (ODH) par l’oxygène de l’air en en vue de production des butènes.</w:t>
      </w:r>
    </w:p>
    <w:p w:rsidR="008B01C0" w:rsidRPr="008B01C0" w:rsidRDefault="008B01C0" w:rsidP="008B01C0">
      <w:pPr>
        <w:tabs>
          <w:tab w:val="left" w:pos="567"/>
          <w:tab w:val="left" w:pos="1785"/>
        </w:tabs>
        <w:spacing w:after="0"/>
        <w:ind w:right="23" w:firstLine="540"/>
        <w:jc w:val="both"/>
        <w:rPr>
          <w:rFonts w:asciiTheme="majorBidi" w:hAnsiTheme="majorBidi" w:cstheme="majorBidi"/>
          <w:sz w:val="20"/>
          <w:szCs w:val="20"/>
        </w:rPr>
      </w:pPr>
      <w:r w:rsidRPr="008B01C0">
        <w:rPr>
          <w:rFonts w:asciiTheme="majorBidi" w:hAnsiTheme="majorBidi" w:cstheme="majorBidi"/>
          <w:sz w:val="20"/>
          <w:szCs w:val="20"/>
        </w:rPr>
        <w:t>Les résultats des caractérisations physico-chimiques ont montré que différentes espèces de vanadium peuvent être formées selon la teneur en vanadium, les interactions vanadium-oxyde utilisé et le traitement thermique. Les analyses structurales par DRX et Raman ont révélé la formation d’un mélange de phases : (MgO, Mg</w:t>
      </w:r>
      <w:r w:rsidRPr="008B01C0">
        <w:rPr>
          <w:rFonts w:asciiTheme="majorBidi" w:hAnsiTheme="majorBidi" w:cstheme="majorBidi"/>
          <w:sz w:val="20"/>
          <w:szCs w:val="20"/>
          <w:vertAlign w:val="subscript"/>
        </w:rPr>
        <w:t>3</w:t>
      </w:r>
      <w:r w:rsidRPr="008B01C0">
        <w:rPr>
          <w:rFonts w:asciiTheme="majorBidi" w:hAnsiTheme="majorBidi" w:cstheme="majorBidi"/>
          <w:sz w:val="20"/>
          <w:szCs w:val="20"/>
        </w:rPr>
        <w:t>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8</w:t>
      </w:r>
      <w:r w:rsidRPr="008B01C0">
        <w:rPr>
          <w:rFonts w:asciiTheme="majorBidi" w:hAnsiTheme="majorBidi" w:cstheme="majorBidi"/>
          <w:sz w:val="20"/>
          <w:szCs w:val="20"/>
        </w:rPr>
        <w:t xml:space="preserve"> et/ou α-Mg</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7</w:t>
      </w:r>
      <w:r w:rsidRPr="008B01C0">
        <w:rPr>
          <w:rFonts w:asciiTheme="majorBidi" w:hAnsiTheme="majorBidi" w:cstheme="majorBidi"/>
          <w:sz w:val="20"/>
          <w:szCs w:val="20"/>
        </w:rPr>
        <w:t>) pour les systèmes 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5</w:t>
      </w:r>
      <w:r w:rsidRPr="008B01C0">
        <w:rPr>
          <w:rFonts w:asciiTheme="majorBidi" w:hAnsiTheme="majorBidi" w:cstheme="majorBidi"/>
          <w:sz w:val="20"/>
          <w:szCs w:val="20"/>
        </w:rPr>
        <w:t>-MgO et: (MgO, Mg</w:t>
      </w:r>
      <w:r w:rsidRPr="008B01C0">
        <w:rPr>
          <w:rFonts w:asciiTheme="majorBidi" w:hAnsiTheme="majorBidi" w:cstheme="majorBidi"/>
          <w:sz w:val="20"/>
          <w:szCs w:val="20"/>
          <w:vertAlign w:val="subscript"/>
        </w:rPr>
        <w:t>3</w:t>
      </w:r>
      <w:r w:rsidRPr="008B01C0">
        <w:rPr>
          <w:rFonts w:asciiTheme="majorBidi" w:hAnsiTheme="majorBidi" w:cstheme="majorBidi"/>
          <w:sz w:val="20"/>
          <w:szCs w:val="20"/>
        </w:rPr>
        <w:t>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8</w:t>
      </w:r>
      <w:r w:rsidRPr="008B01C0">
        <w:rPr>
          <w:rFonts w:asciiTheme="majorBidi" w:hAnsiTheme="majorBidi" w:cstheme="majorBidi"/>
          <w:sz w:val="20"/>
          <w:szCs w:val="20"/>
        </w:rPr>
        <w:t xml:space="preserve"> et Mg</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SiO</w:t>
      </w:r>
      <w:r w:rsidRPr="008B01C0">
        <w:rPr>
          <w:rFonts w:asciiTheme="majorBidi" w:hAnsiTheme="majorBidi" w:cstheme="majorBidi"/>
          <w:sz w:val="20"/>
          <w:szCs w:val="20"/>
          <w:vertAlign w:val="subscript"/>
        </w:rPr>
        <w:t>4</w:t>
      </w:r>
      <w:r w:rsidRPr="008B01C0">
        <w:rPr>
          <w:rFonts w:asciiTheme="majorBidi" w:hAnsiTheme="majorBidi" w:cstheme="majorBidi"/>
          <w:sz w:val="20"/>
          <w:szCs w:val="20"/>
        </w:rPr>
        <w:t>) pour les systèmes 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5</w:t>
      </w:r>
      <w:r w:rsidRPr="008B01C0">
        <w:rPr>
          <w:rFonts w:asciiTheme="majorBidi" w:hAnsiTheme="majorBidi" w:cstheme="majorBidi"/>
          <w:sz w:val="20"/>
          <w:szCs w:val="20"/>
        </w:rPr>
        <w:t>-MgO-SiO</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 La formation des phases mixtes de type vanadate de magnésium (Mg</w:t>
      </w:r>
      <w:r w:rsidRPr="008B01C0">
        <w:rPr>
          <w:rFonts w:asciiTheme="majorBidi" w:hAnsiTheme="majorBidi" w:cstheme="majorBidi"/>
          <w:sz w:val="20"/>
          <w:szCs w:val="20"/>
          <w:vertAlign w:val="subscript"/>
        </w:rPr>
        <w:t>3</w:t>
      </w:r>
      <w:r w:rsidRPr="008B01C0">
        <w:rPr>
          <w:rFonts w:asciiTheme="majorBidi" w:hAnsiTheme="majorBidi" w:cstheme="majorBidi"/>
          <w:sz w:val="20"/>
          <w:szCs w:val="20"/>
        </w:rPr>
        <w:t>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8</w:t>
      </w:r>
      <w:r w:rsidRPr="008B01C0">
        <w:rPr>
          <w:rFonts w:asciiTheme="majorBidi" w:hAnsiTheme="majorBidi" w:cstheme="majorBidi"/>
          <w:sz w:val="20"/>
          <w:szCs w:val="20"/>
        </w:rPr>
        <w:t xml:space="preserve"> et α-Mg</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7</w:t>
      </w:r>
      <w:r w:rsidRPr="008B01C0">
        <w:rPr>
          <w:rFonts w:asciiTheme="majorBidi" w:hAnsiTheme="majorBidi" w:cstheme="majorBidi"/>
          <w:sz w:val="20"/>
          <w:szCs w:val="20"/>
        </w:rPr>
        <w:t>) ainsi que la phase silicate de magnésium (Mg</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SiO</w:t>
      </w:r>
      <w:r w:rsidRPr="008B01C0">
        <w:rPr>
          <w:rFonts w:asciiTheme="majorBidi" w:hAnsiTheme="majorBidi" w:cstheme="majorBidi"/>
          <w:sz w:val="20"/>
          <w:szCs w:val="20"/>
          <w:vertAlign w:val="subscript"/>
        </w:rPr>
        <w:t>4</w:t>
      </w:r>
      <w:r w:rsidRPr="008B01C0">
        <w:rPr>
          <w:rFonts w:asciiTheme="majorBidi" w:hAnsiTheme="majorBidi" w:cstheme="majorBidi"/>
          <w:sz w:val="20"/>
          <w:szCs w:val="20"/>
        </w:rPr>
        <w:t>) sont dues aux fortes interactions acido-basiques entre</w:t>
      </w:r>
      <w:r>
        <w:rPr>
          <w:rFonts w:asciiTheme="majorBidi" w:hAnsiTheme="majorBidi" w:cstheme="majorBidi"/>
          <w:sz w:val="20"/>
          <w:szCs w:val="20"/>
        </w:rPr>
        <w:t xml:space="preserve"> </w:t>
      </w:r>
      <w:r w:rsidRPr="008B01C0">
        <w:rPr>
          <w:rFonts w:asciiTheme="majorBidi" w:hAnsiTheme="majorBidi" w:cstheme="majorBidi"/>
          <w:sz w:val="20"/>
          <w:szCs w:val="20"/>
        </w:rPr>
        <w:t>le vanadium-magnésium et magnésium-silicium. Par ailleurs, les faibles interactions entre le vanadium et la silice à cause de leur caractère acide mènent uniquement à la formation de l’oxyde de vanadium cristallin 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5</w:t>
      </w:r>
      <w:r w:rsidRPr="008B01C0">
        <w:rPr>
          <w:rFonts w:asciiTheme="majorBidi" w:hAnsiTheme="majorBidi" w:cstheme="majorBidi"/>
          <w:sz w:val="20"/>
          <w:szCs w:val="20"/>
        </w:rPr>
        <w:t>. La cristallinité des différents solides augmente avec l’augmentation de la teneur en vanadium et la température de calcination ce qui est associé respectivement à une transformation dans la structure des espèces de vanadium et à une augmentation des domaines cristallins à haute température. Les mesures texturales ont révélé que les matériaux préparés possèdent une texture mésoporeuse avec des surfaces spécifiques entre 20 et 190m</w:t>
      </w:r>
      <w:r w:rsidR="009A030A" w:rsidRPr="009A030A">
        <w:rPr>
          <w:rFonts w:asciiTheme="majorBidi" w:hAnsiTheme="majorBidi" w:cstheme="majorBidi"/>
          <w:sz w:val="20"/>
          <w:szCs w:val="20"/>
          <w:vertAlign w:val="superscript"/>
        </w:rPr>
        <w:t>2</w:t>
      </w:r>
      <w:r w:rsidRPr="008B01C0">
        <w:rPr>
          <w:rFonts w:asciiTheme="majorBidi" w:hAnsiTheme="majorBidi" w:cstheme="majorBidi"/>
          <w:sz w:val="20"/>
          <w:szCs w:val="20"/>
        </w:rPr>
        <w:t xml:space="preserve">/g. L’analyse MET </w:t>
      </w:r>
      <w:r>
        <w:rPr>
          <w:rFonts w:asciiTheme="majorBidi" w:hAnsiTheme="majorBidi" w:cstheme="majorBidi"/>
          <w:sz w:val="20"/>
          <w:szCs w:val="20"/>
        </w:rPr>
        <w:t xml:space="preserve">     </w:t>
      </w:r>
      <w:r w:rsidRPr="008B01C0">
        <w:rPr>
          <w:rFonts w:asciiTheme="majorBidi" w:hAnsiTheme="majorBidi" w:cstheme="majorBidi"/>
          <w:sz w:val="20"/>
          <w:szCs w:val="20"/>
        </w:rPr>
        <w:t xml:space="preserve">a montré qu’une meilleure homogénéité de surface et distribution des particules à la surface ont été obtenues pour </w:t>
      </w:r>
      <w:r>
        <w:rPr>
          <w:rFonts w:asciiTheme="majorBidi" w:hAnsiTheme="majorBidi" w:cstheme="majorBidi"/>
          <w:sz w:val="20"/>
          <w:szCs w:val="20"/>
        </w:rPr>
        <w:t xml:space="preserve">                </w:t>
      </w:r>
      <w:r w:rsidRPr="008B01C0">
        <w:rPr>
          <w:rFonts w:asciiTheme="majorBidi" w:hAnsiTheme="majorBidi" w:cstheme="majorBidi"/>
          <w:sz w:val="20"/>
          <w:szCs w:val="20"/>
        </w:rPr>
        <w:t>les systèmes VMgO en particulier les échantillons préparés par la méthode sol-gel. En revanche, des particules plus volumineuses et des parties de vanadium et de silice amorphes ont été détectées pour les oxydes 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5</w:t>
      </w:r>
      <w:r w:rsidRPr="008B01C0">
        <w:rPr>
          <w:rFonts w:asciiTheme="majorBidi" w:hAnsiTheme="majorBidi" w:cstheme="majorBidi"/>
          <w:sz w:val="20"/>
          <w:szCs w:val="20"/>
        </w:rPr>
        <w:t>-SiO</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 xml:space="preserve"> et 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5</w:t>
      </w:r>
      <w:r w:rsidRPr="008B01C0">
        <w:rPr>
          <w:rFonts w:asciiTheme="majorBidi" w:hAnsiTheme="majorBidi" w:cstheme="majorBidi"/>
          <w:sz w:val="20"/>
          <w:szCs w:val="20"/>
        </w:rPr>
        <w:t>-MgO-SiO</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 xml:space="preserve">. L’étude de la réductibilité des catalyseurs a révélé que la réduction des espèces de vanadium isolées VOx dispersées la surface (formées pour les faibles compositions en vanadium) a lieu à basse température tandis que la réduction du vanadium incorporé dans des structures mixtes se produit à haute température. Les plus hautes températures de </w:t>
      </w:r>
      <w:r>
        <w:rPr>
          <w:rFonts w:asciiTheme="majorBidi" w:hAnsiTheme="majorBidi" w:cstheme="majorBidi"/>
          <w:sz w:val="20"/>
          <w:szCs w:val="20"/>
        </w:rPr>
        <w:t>réduction ont été obtenues pour</w:t>
      </w:r>
      <w:r w:rsidRPr="008B01C0">
        <w:rPr>
          <w:rFonts w:asciiTheme="majorBidi" w:hAnsiTheme="majorBidi" w:cstheme="majorBidi"/>
          <w:sz w:val="20"/>
          <w:szCs w:val="20"/>
        </w:rPr>
        <w:t xml:space="preserve"> les systèmes VSiO</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 xml:space="preserve"> indiquant une forte stabilité du vanadium (V</w:t>
      </w:r>
      <w:r w:rsidRPr="008B01C0">
        <w:rPr>
          <w:rFonts w:asciiTheme="majorBidi" w:hAnsiTheme="majorBidi" w:cstheme="majorBidi"/>
          <w:sz w:val="20"/>
          <w:szCs w:val="20"/>
          <w:vertAlign w:val="superscript"/>
        </w:rPr>
        <w:t>5+</w:t>
      </w:r>
      <w:r w:rsidRPr="008B01C0">
        <w:rPr>
          <w:rFonts w:asciiTheme="majorBidi" w:hAnsiTheme="majorBidi" w:cstheme="majorBidi"/>
          <w:sz w:val="20"/>
          <w:szCs w:val="20"/>
        </w:rPr>
        <w:t>) dans la structure cristalline de 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5</w:t>
      </w:r>
      <w:r w:rsidRPr="008B01C0">
        <w:rPr>
          <w:rFonts w:asciiTheme="majorBidi" w:hAnsiTheme="majorBidi" w:cstheme="majorBidi"/>
          <w:sz w:val="20"/>
          <w:szCs w:val="20"/>
        </w:rPr>
        <w:t xml:space="preserve"> (cristallites formées pour ces échantillons). Les mesures d’acidité par adsorption de l’ammoniac ont montré que l’ensemble des catalyseurs présentent une faible acidité de surface. Le caractère acide est essentiellement associé à la présence du vanadium qui génère des acides de Lewis (cations V</w:t>
      </w:r>
      <w:r w:rsidRPr="008B01C0">
        <w:rPr>
          <w:rFonts w:asciiTheme="majorBidi" w:hAnsiTheme="majorBidi" w:cstheme="majorBidi"/>
          <w:sz w:val="20"/>
          <w:szCs w:val="20"/>
          <w:vertAlign w:val="superscript"/>
        </w:rPr>
        <w:t>5+</w:t>
      </w:r>
      <w:r w:rsidRPr="008B01C0">
        <w:rPr>
          <w:rFonts w:asciiTheme="majorBidi" w:hAnsiTheme="majorBidi" w:cstheme="majorBidi"/>
          <w:sz w:val="20"/>
          <w:szCs w:val="20"/>
        </w:rPr>
        <w:t>: accepteurs d’électrons) et des sites acides de Bronsted (V-O-H) obtenu par hydroxylation de la surface. La plus faible acidité de surface a été enregistrée pour les catalyseurs VMgO en particulier ceux préparés par sol-gel. Les résultats de la réaction de décomposition de l’isopropanol sous azote (Tr=200°C) ont révélé que les produits de conversion de l’isopr</w:t>
      </w:r>
      <w:bookmarkStart w:id="1" w:name="_GoBack"/>
      <w:bookmarkEnd w:id="1"/>
      <w:r w:rsidRPr="008B01C0">
        <w:rPr>
          <w:rFonts w:asciiTheme="majorBidi" w:hAnsiTheme="majorBidi" w:cstheme="majorBidi"/>
          <w:sz w:val="20"/>
          <w:szCs w:val="20"/>
        </w:rPr>
        <w:t>opanol sur nos matériaux sont le propène et l’acétone. Une formation majoritaire en propène (produit de déshydratation) a été observée via les échantillons 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5</w:t>
      </w:r>
      <w:r w:rsidRPr="008B01C0">
        <w:rPr>
          <w:rFonts w:asciiTheme="majorBidi" w:hAnsiTheme="majorBidi" w:cstheme="majorBidi"/>
          <w:sz w:val="20"/>
          <w:szCs w:val="20"/>
        </w:rPr>
        <w:t>-SiO</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 xml:space="preserve"> et 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5</w:t>
      </w:r>
      <w:r w:rsidRPr="008B01C0">
        <w:rPr>
          <w:rFonts w:asciiTheme="majorBidi" w:hAnsiTheme="majorBidi" w:cstheme="majorBidi"/>
          <w:sz w:val="20"/>
          <w:szCs w:val="20"/>
        </w:rPr>
        <w:t>-MgO-SiO</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 xml:space="preserve"> confirmant ainsi leur caractère acide très prononcé de la surface tandis qu’une production majoritaire de l’acétone (produit de déshydrogénation) a été obtenue via les échantillons VMgO indiquant leurs propriétés basiques dominantes. Ainsi, le vanadium incorporé dans des phases mixtes avec le magnésium (Mg</w:t>
      </w:r>
      <w:r w:rsidRPr="008B01C0">
        <w:rPr>
          <w:rFonts w:asciiTheme="majorBidi" w:hAnsiTheme="majorBidi" w:cstheme="majorBidi"/>
          <w:sz w:val="20"/>
          <w:szCs w:val="20"/>
          <w:vertAlign w:val="subscript"/>
        </w:rPr>
        <w:t>3</w:t>
      </w:r>
      <w:r w:rsidRPr="008B01C0">
        <w:rPr>
          <w:rFonts w:asciiTheme="majorBidi" w:hAnsiTheme="majorBidi" w:cstheme="majorBidi"/>
          <w:sz w:val="20"/>
          <w:szCs w:val="20"/>
        </w:rPr>
        <w:t>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8</w:t>
      </w:r>
      <w:r w:rsidRPr="008B01C0">
        <w:rPr>
          <w:rFonts w:asciiTheme="majorBidi" w:hAnsiTheme="majorBidi" w:cstheme="majorBidi"/>
          <w:sz w:val="20"/>
          <w:szCs w:val="20"/>
        </w:rPr>
        <w:t>, α-Mg</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7</w:t>
      </w:r>
      <w:r w:rsidRPr="008B01C0">
        <w:rPr>
          <w:rFonts w:asciiTheme="majorBidi" w:hAnsiTheme="majorBidi" w:cstheme="majorBidi"/>
          <w:sz w:val="20"/>
          <w:szCs w:val="20"/>
        </w:rPr>
        <w:t>) diminue son acidité tandis que sa présence sous forme de cristallites 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5</w:t>
      </w:r>
      <w:r w:rsidRPr="008B01C0">
        <w:rPr>
          <w:rFonts w:asciiTheme="majorBidi" w:hAnsiTheme="majorBidi" w:cstheme="majorBidi"/>
          <w:sz w:val="20"/>
          <w:szCs w:val="20"/>
        </w:rPr>
        <w:t xml:space="preserve"> ou de groupements (VOx) (dispersées à la surface accentue ses propriétés acides. Les résultats de réactivité dans l’oxydation partielle du n-butane (Tr=500°C, rapport air/n-butane=5) ont montré que l’ensemble des échantillons préparés sont actifs dans cette réactions. Les produits de réaction sont : des produits de déshydrogénations (butènes), des produits de craquage (méthane, éthane et propane), des produits d’oxydation totale (CO +CO</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 et de l’isobutane. Les catalyseurs les plus actifs et sélectifs en butènes (produits de déshydrogénation) sont les systèmes VMgO, en particulier les échantillons préparés par la méthode sol-gel à cause de leur faible taille de cristallites, leur porosité élevée, leur homogénéité de la surface ainsi que leur caractère basique très prononcé de la surface. La sélectivité des systèmes VMgO est aussi attribuée à la présence de la phase Mg</w:t>
      </w:r>
      <w:r w:rsidRPr="008B01C0">
        <w:rPr>
          <w:rFonts w:asciiTheme="majorBidi" w:hAnsiTheme="majorBidi" w:cstheme="majorBidi"/>
          <w:sz w:val="20"/>
          <w:szCs w:val="20"/>
          <w:vertAlign w:val="subscript"/>
        </w:rPr>
        <w:t>3</w:t>
      </w:r>
      <w:r w:rsidRPr="008B01C0">
        <w:rPr>
          <w:rFonts w:asciiTheme="majorBidi" w:hAnsiTheme="majorBidi" w:cstheme="majorBidi"/>
          <w:sz w:val="20"/>
          <w:szCs w:val="20"/>
        </w:rPr>
        <w:t>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8</w:t>
      </w:r>
      <w:r w:rsidRPr="008B01C0">
        <w:rPr>
          <w:rFonts w:asciiTheme="majorBidi" w:hAnsiTheme="majorBidi" w:cstheme="majorBidi"/>
          <w:sz w:val="20"/>
          <w:szCs w:val="20"/>
        </w:rPr>
        <w:t xml:space="preserve"> dont les oxygènes de réseau O</w:t>
      </w:r>
      <w:r w:rsidRPr="008B01C0">
        <w:rPr>
          <w:rFonts w:asciiTheme="majorBidi" w:hAnsiTheme="majorBidi" w:cstheme="majorBidi"/>
          <w:sz w:val="20"/>
          <w:szCs w:val="20"/>
          <w:vertAlign w:val="superscript"/>
        </w:rPr>
        <w:t>2-</w:t>
      </w:r>
      <w:r w:rsidRPr="008B01C0">
        <w:rPr>
          <w:rFonts w:asciiTheme="majorBidi" w:hAnsiTheme="majorBidi" w:cstheme="majorBidi"/>
          <w:sz w:val="20"/>
          <w:szCs w:val="20"/>
        </w:rPr>
        <w:t xml:space="preserve"> (espèces basiques) sont responsables de l’activation de la liaison C-H. Les résultats de l’ODH du n-butane sont en bon accord avec les propriétés acido-basiques de la surface. En effet, le caractère acide des oxydes VSiO</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 xml:space="preserve"> et V</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O</w:t>
      </w:r>
      <w:r w:rsidRPr="008B01C0">
        <w:rPr>
          <w:rFonts w:asciiTheme="majorBidi" w:hAnsiTheme="majorBidi" w:cstheme="majorBidi"/>
          <w:sz w:val="20"/>
          <w:szCs w:val="20"/>
          <w:vertAlign w:val="subscript"/>
        </w:rPr>
        <w:t>5</w:t>
      </w:r>
      <w:r w:rsidRPr="008B01C0">
        <w:rPr>
          <w:rFonts w:asciiTheme="majorBidi" w:hAnsiTheme="majorBidi" w:cstheme="majorBidi"/>
          <w:sz w:val="20"/>
          <w:szCs w:val="20"/>
        </w:rPr>
        <w:t>-MgO-SiO</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 xml:space="preserve"> favorise l’oxydation totale du n-butane tandis que les propriétés fortement basiques des oxydes VMgO favorise la déshydrogénation du n-butane en butènes. La voie de déshydrogénation du n-butane en butènes fait aussi intervenir l’oxygène de la phase gazeuse (O</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 ; ce dernier adsorbé à la surface permet la régénération des espèces oxygènes basiques (O</w:t>
      </w:r>
      <w:r w:rsidRPr="008B01C0">
        <w:rPr>
          <w:rFonts w:asciiTheme="majorBidi" w:hAnsiTheme="majorBidi" w:cstheme="majorBidi"/>
          <w:sz w:val="20"/>
          <w:szCs w:val="20"/>
          <w:vertAlign w:val="superscript"/>
        </w:rPr>
        <w:t>2-</w:t>
      </w:r>
      <w:r w:rsidRPr="008B01C0">
        <w:rPr>
          <w:rFonts w:asciiTheme="majorBidi" w:hAnsiTheme="majorBidi" w:cstheme="majorBidi"/>
          <w:sz w:val="20"/>
          <w:szCs w:val="20"/>
        </w:rPr>
        <w:t>) selon l’équilibre suivant : O</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 xml:space="preserve"> (gas) + Surface </w:t>
      </w:r>
      <w:r w:rsidRPr="008B01C0">
        <w:rPr>
          <w:rFonts w:ascii="Wingdings 3" w:eastAsia="Wingdings 3" w:hAnsi="Wingdings 3" w:cs="Wingdings 3"/>
          <w:sz w:val="20"/>
          <w:szCs w:val="20"/>
          <w:lang w:val="en-US"/>
        </w:rPr>
        <w:t></w:t>
      </w:r>
      <w:r w:rsidRPr="008B01C0">
        <w:rPr>
          <w:rFonts w:asciiTheme="majorBidi" w:hAnsiTheme="majorBidi" w:cstheme="majorBidi"/>
          <w:sz w:val="20"/>
          <w:szCs w:val="20"/>
        </w:rPr>
        <w:t xml:space="preserve"> O</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rPr>
        <w:t xml:space="preserve"> (ads) + e</w:t>
      </w:r>
      <w:r w:rsidRPr="008B01C0">
        <w:rPr>
          <w:rFonts w:asciiTheme="majorBidi" w:hAnsiTheme="majorBidi" w:cstheme="majorBidi"/>
          <w:sz w:val="20"/>
          <w:szCs w:val="20"/>
          <w:vertAlign w:val="superscript"/>
        </w:rPr>
        <w:t>-</w:t>
      </w:r>
      <w:r w:rsidRPr="008B01C0">
        <w:rPr>
          <w:rFonts w:asciiTheme="majorBidi" w:hAnsiTheme="majorBidi" w:cstheme="majorBidi"/>
          <w:sz w:val="20"/>
          <w:szCs w:val="20"/>
        </w:rPr>
        <w:t xml:space="preserve"> </w:t>
      </w:r>
      <w:r w:rsidRPr="008B01C0">
        <w:rPr>
          <w:rFonts w:ascii="Wingdings 3" w:eastAsia="Wingdings 3" w:hAnsi="Wingdings 3" w:cs="Wingdings 3"/>
          <w:sz w:val="20"/>
          <w:szCs w:val="20"/>
          <w:lang w:val="en-US"/>
        </w:rPr>
        <w:t></w:t>
      </w:r>
      <w:r w:rsidRPr="008B01C0">
        <w:rPr>
          <w:rFonts w:asciiTheme="majorBidi" w:hAnsiTheme="majorBidi" w:cstheme="majorBidi"/>
          <w:sz w:val="20"/>
          <w:szCs w:val="20"/>
        </w:rPr>
        <w:t xml:space="preserve"> O</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vertAlign w:val="superscript"/>
        </w:rPr>
        <w:t>-</w:t>
      </w:r>
      <w:r w:rsidRPr="008B01C0">
        <w:rPr>
          <w:rFonts w:asciiTheme="majorBidi" w:hAnsiTheme="majorBidi" w:cstheme="majorBidi"/>
          <w:sz w:val="20"/>
          <w:szCs w:val="20"/>
        </w:rPr>
        <w:t xml:space="preserve"> + e</w:t>
      </w:r>
      <w:r w:rsidRPr="008B01C0">
        <w:rPr>
          <w:rFonts w:asciiTheme="majorBidi" w:hAnsiTheme="majorBidi" w:cstheme="majorBidi"/>
          <w:sz w:val="20"/>
          <w:szCs w:val="20"/>
          <w:vertAlign w:val="superscript"/>
        </w:rPr>
        <w:t>-</w:t>
      </w:r>
      <w:r w:rsidRPr="008B01C0">
        <w:rPr>
          <w:rFonts w:ascii="Wingdings 3" w:eastAsia="Wingdings 3" w:hAnsi="Wingdings 3" w:cs="Wingdings 3"/>
          <w:sz w:val="20"/>
          <w:szCs w:val="20"/>
          <w:lang w:val="en-US"/>
        </w:rPr>
        <w:t></w:t>
      </w:r>
      <w:r w:rsidRPr="008B01C0">
        <w:rPr>
          <w:rFonts w:asciiTheme="majorBidi" w:hAnsiTheme="majorBidi" w:cstheme="majorBidi"/>
          <w:sz w:val="20"/>
          <w:szCs w:val="20"/>
        </w:rPr>
        <w:t xml:space="preserve"> O</w:t>
      </w:r>
      <w:r w:rsidRPr="008B01C0">
        <w:rPr>
          <w:rFonts w:asciiTheme="majorBidi" w:hAnsiTheme="majorBidi" w:cstheme="majorBidi"/>
          <w:sz w:val="20"/>
          <w:szCs w:val="20"/>
          <w:vertAlign w:val="subscript"/>
        </w:rPr>
        <w:t>2</w:t>
      </w:r>
      <w:r w:rsidRPr="008B01C0">
        <w:rPr>
          <w:rFonts w:asciiTheme="majorBidi" w:hAnsiTheme="majorBidi" w:cstheme="majorBidi"/>
          <w:sz w:val="20"/>
          <w:szCs w:val="20"/>
          <w:vertAlign w:val="superscript"/>
        </w:rPr>
        <w:t xml:space="preserve">2- </w:t>
      </w:r>
      <w:r w:rsidRPr="008B01C0">
        <w:rPr>
          <w:rFonts w:asciiTheme="majorBidi" w:hAnsiTheme="majorBidi" w:cstheme="majorBidi"/>
          <w:sz w:val="20"/>
          <w:szCs w:val="20"/>
        </w:rPr>
        <w:t>+ e</w:t>
      </w:r>
      <w:r w:rsidRPr="008B01C0">
        <w:rPr>
          <w:rFonts w:asciiTheme="majorBidi" w:hAnsiTheme="majorBidi" w:cstheme="majorBidi"/>
          <w:sz w:val="20"/>
          <w:szCs w:val="20"/>
          <w:vertAlign w:val="superscript"/>
        </w:rPr>
        <w:t>-</w:t>
      </w:r>
      <w:r w:rsidRPr="008B01C0">
        <w:rPr>
          <w:rFonts w:ascii="Wingdings 3" w:eastAsia="Wingdings 3" w:hAnsi="Wingdings 3" w:cs="Wingdings 3"/>
          <w:sz w:val="20"/>
          <w:szCs w:val="20"/>
          <w:lang w:val="en-US"/>
        </w:rPr>
        <w:t></w:t>
      </w:r>
      <w:r w:rsidRPr="008B01C0">
        <w:rPr>
          <w:rFonts w:asciiTheme="majorBidi" w:hAnsiTheme="majorBidi" w:cstheme="majorBidi"/>
          <w:sz w:val="20"/>
          <w:szCs w:val="20"/>
        </w:rPr>
        <w:t>2 O</w:t>
      </w:r>
      <w:r w:rsidRPr="008B01C0">
        <w:rPr>
          <w:rFonts w:asciiTheme="majorBidi" w:hAnsiTheme="majorBidi" w:cstheme="majorBidi"/>
          <w:sz w:val="20"/>
          <w:szCs w:val="20"/>
          <w:vertAlign w:val="superscript"/>
        </w:rPr>
        <w:t>-</w:t>
      </w:r>
      <w:r w:rsidRPr="008B01C0">
        <w:rPr>
          <w:rFonts w:asciiTheme="majorBidi" w:hAnsiTheme="majorBidi" w:cstheme="majorBidi"/>
          <w:sz w:val="20"/>
          <w:szCs w:val="20"/>
        </w:rPr>
        <w:t xml:space="preserve"> + e</w:t>
      </w:r>
      <w:r w:rsidRPr="008B01C0">
        <w:rPr>
          <w:rFonts w:asciiTheme="majorBidi" w:hAnsiTheme="majorBidi" w:cstheme="majorBidi"/>
          <w:sz w:val="20"/>
          <w:szCs w:val="20"/>
          <w:vertAlign w:val="superscript"/>
        </w:rPr>
        <w:t>-</w:t>
      </w:r>
      <w:r w:rsidRPr="008B01C0">
        <w:rPr>
          <w:rFonts w:ascii="Wingdings 3" w:eastAsia="Wingdings 3" w:hAnsi="Wingdings 3" w:cs="Wingdings 3"/>
          <w:sz w:val="20"/>
          <w:szCs w:val="20"/>
          <w:lang w:val="en-US"/>
        </w:rPr>
        <w:t></w:t>
      </w:r>
      <w:r w:rsidRPr="008B01C0">
        <w:rPr>
          <w:rFonts w:asciiTheme="majorBidi" w:hAnsiTheme="majorBidi" w:cstheme="majorBidi"/>
          <w:sz w:val="20"/>
          <w:szCs w:val="20"/>
        </w:rPr>
        <w:t xml:space="preserve"> 2O</w:t>
      </w:r>
      <w:r w:rsidRPr="008B01C0">
        <w:rPr>
          <w:rFonts w:asciiTheme="majorBidi" w:hAnsiTheme="majorBidi" w:cstheme="majorBidi"/>
          <w:sz w:val="20"/>
          <w:szCs w:val="20"/>
          <w:vertAlign w:val="superscript"/>
        </w:rPr>
        <w:t>2-</w:t>
      </w:r>
      <w:r w:rsidRPr="008B01C0">
        <w:rPr>
          <w:rFonts w:asciiTheme="majorBidi" w:hAnsiTheme="majorBidi" w:cstheme="majorBidi"/>
          <w:sz w:val="20"/>
          <w:szCs w:val="20"/>
        </w:rPr>
        <w:t>.</w:t>
      </w:r>
    </w:p>
    <w:p w:rsidR="008B01C0" w:rsidRPr="008B01C0" w:rsidRDefault="008B01C0" w:rsidP="008B01C0">
      <w:pPr>
        <w:jc w:val="both"/>
        <w:rPr>
          <w:rFonts w:asciiTheme="majorBidi" w:hAnsiTheme="majorBidi" w:cstheme="majorBidi"/>
          <w:b/>
          <w:bCs/>
          <w:sz w:val="20"/>
          <w:szCs w:val="20"/>
        </w:rPr>
      </w:pPr>
    </w:p>
    <w:sectPr w:rsidR="008B01C0" w:rsidRPr="008B01C0" w:rsidSect="008B01C0">
      <w:pgSz w:w="11906" w:h="16838"/>
      <w:pgMar w:top="1417" w:right="991" w:bottom="1417" w:left="993"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1157F" w:rsidRDefault="0031157F" w:rsidP="004C779C">
      <w:pPr>
        <w:spacing w:after="0" w:line="240" w:lineRule="auto"/>
      </w:pPr>
      <w:r>
        <w:separator/>
      </w:r>
    </w:p>
  </w:endnote>
  <w:endnote w:type="continuationSeparator" w:id="0">
    <w:p w:rsidR="0031157F" w:rsidRDefault="0031157F" w:rsidP="004C77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3">
    <w:panose1 w:val="050401020108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1157F" w:rsidRDefault="0031157F" w:rsidP="004C779C">
      <w:pPr>
        <w:spacing w:after="0" w:line="240" w:lineRule="auto"/>
      </w:pPr>
      <w:r>
        <w:separator/>
      </w:r>
    </w:p>
  </w:footnote>
  <w:footnote w:type="continuationSeparator" w:id="0">
    <w:p w:rsidR="0031157F" w:rsidRDefault="0031157F" w:rsidP="004C779C">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hideSpellingErrors/>
  <w:hideGrammaticalError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B01C0"/>
    <w:rsid w:val="000C0FAA"/>
    <w:rsid w:val="00240A85"/>
    <w:rsid w:val="0024776D"/>
    <w:rsid w:val="0031157F"/>
    <w:rsid w:val="004C779C"/>
    <w:rsid w:val="00780CA6"/>
    <w:rsid w:val="007F456E"/>
    <w:rsid w:val="008B01C0"/>
    <w:rsid w:val="009A030A"/>
    <w:rsid w:val="00D238B8"/>
    <w:rsid w:val="00D961BB"/>
    <w:rsid w:val="00DF3B30"/>
    <w:rsid w:val="00E01077"/>
    <w:rsid w:val="00E949A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05C50D-622C-4BF0-A73B-8D2603BB8C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B01C0"/>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4C779C"/>
    <w:pPr>
      <w:tabs>
        <w:tab w:val="center" w:pos="4536"/>
        <w:tab w:val="right" w:pos="9072"/>
      </w:tabs>
      <w:spacing w:after="0" w:line="240" w:lineRule="auto"/>
    </w:pPr>
  </w:style>
  <w:style w:type="character" w:customStyle="1" w:styleId="En-tteCar">
    <w:name w:val="En-tête Car"/>
    <w:basedOn w:val="Policepardfaut"/>
    <w:link w:val="En-tte"/>
    <w:uiPriority w:val="99"/>
    <w:rsid w:val="004C779C"/>
  </w:style>
  <w:style w:type="paragraph" w:styleId="Pieddepage">
    <w:name w:val="footer"/>
    <w:basedOn w:val="Normal"/>
    <w:link w:val="PieddepageCar"/>
    <w:uiPriority w:val="99"/>
    <w:unhideWhenUsed/>
    <w:rsid w:val="004C779C"/>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4C779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87499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GostName.XSL" StyleName="GOST - Name Sort"/>
</file>

<file path=customXml/itemProps1.xml><?xml version="1.0" encoding="utf-8"?>
<ds:datastoreItem xmlns:ds="http://schemas.openxmlformats.org/officeDocument/2006/customXml" ds:itemID="{B353A077-B7FC-474C-B8F7-8138C5881C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869</Words>
  <Characters>4780</Characters>
  <Application>Microsoft Office Word</Application>
  <DocSecurity>0</DocSecurity>
  <Lines>39</Lines>
  <Paragraphs>11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5638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naima</cp:lastModifiedBy>
  <cp:revision>3</cp:revision>
  <dcterms:created xsi:type="dcterms:W3CDTF">2018-05-30T16:59:00Z</dcterms:created>
  <dcterms:modified xsi:type="dcterms:W3CDTF">2018-10-01T14:57:00Z</dcterms:modified>
</cp:coreProperties>
</file>