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43DF" w:rsidRDefault="00D543DF" w:rsidP="00D543DF">
      <w:r>
        <w:t>Dans le présent  travail trois variétés autochtones de vigne de table (</w:t>
      </w:r>
      <w:proofErr w:type="spellStart"/>
      <w:r>
        <w:t>Vitis</w:t>
      </w:r>
      <w:proofErr w:type="spellEnd"/>
      <w:r>
        <w:t xml:space="preserve"> </w:t>
      </w:r>
      <w:proofErr w:type="spellStart"/>
      <w:r>
        <w:t>vinifera</w:t>
      </w:r>
      <w:proofErr w:type="spellEnd"/>
      <w:r>
        <w:t xml:space="preserve"> L.) ont  été utilisées (Ahmar </w:t>
      </w:r>
      <w:proofErr w:type="spellStart"/>
      <w:r>
        <w:t>bou</w:t>
      </w:r>
      <w:proofErr w:type="spellEnd"/>
      <w:r>
        <w:t xml:space="preserve"> </w:t>
      </w:r>
      <w:proofErr w:type="spellStart"/>
      <w:r>
        <w:t>amar</w:t>
      </w:r>
      <w:proofErr w:type="spellEnd"/>
      <w:r>
        <w:t xml:space="preserve">,  </w:t>
      </w:r>
      <w:proofErr w:type="spellStart"/>
      <w:r>
        <w:t>Valensi</w:t>
      </w:r>
      <w:proofErr w:type="spellEnd"/>
      <w:r>
        <w:t xml:space="preserve"> et Muscat de Cherchell) ; la détection des virus par le test Elisa et l'inoculation mécanique a révélé qu'elles étaient atteintes de trois viroses : le court noué (GFLV),  la marbrure (GFKV) et l'enroulement  foliaire (GLRV III).</w:t>
      </w:r>
    </w:p>
    <w:p w:rsidR="00D543DF" w:rsidRDefault="00D543DF" w:rsidP="00D543DF">
      <w:r>
        <w:t>La  culture in vitro de méristèmes est une technique essentiellement adoptée pour sa rapidité de régénération et d'assainissement des végétaux.</w:t>
      </w:r>
    </w:p>
    <w:p w:rsidR="00D543DF" w:rsidRDefault="00D543DF" w:rsidP="00D543DF">
      <w:r>
        <w:t>Dans cette optique, nous avons recherché les conditions favorables  permettant la reprise des méristèmes, telles que  la méthode de désinfection du matériel végétal, la taille des méristèmes, la nature du milieu d'initiation, l'influence de la température du jour ainsi que l'influence des substances de croissance et du milieu de base.</w:t>
      </w:r>
    </w:p>
    <w:p w:rsidR="00D543DF" w:rsidRDefault="00D543DF" w:rsidP="00D543DF">
      <w:r>
        <w:t xml:space="preserve">Le milieu CHEE et POOL (1987) enrichi en BAP (1.5 </w:t>
      </w:r>
      <w:proofErr w:type="spellStart"/>
      <w:r>
        <w:t>mg.L</w:t>
      </w:r>
      <w:proofErr w:type="spellEnd"/>
      <w:r>
        <w:t xml:space="preserve">-1) permet l'obtention d'un pourcentage de réussite de 90% pour </w:t>
      </w:r>
      <w:proofErr w:type="spellStart"/>
      <w:r>
        <w:t>Valensi</w:t>
      </w:r>
      <w:proofErr w:type="spellEnd"/>
      <w:r>
        <w:t xml:space="preserve">, 85% pour Ahmar </w:t>
      </w:r>
      <w:proofErr w:type="spellStart"/>
      <w:r>
        <w:t>bou</w:t>
      </w:r>
      <w:proofErr w:type="spellEnd"/>
      <w:r>
        <w:t xml:space="preserve"> </w:t>
      </w:r>
      <w:proofErr w:type="spellStart"/>
      <w:r>
        <w:t>amar</w:t>
      </w:r>
      <w:proofErr w:type="spellEnd"/>
      <w:r>
        <w:t xml:space="preserve"> et Muscat de Cherchell.</w:t>
      </w:r>
    </w:p>
    <w:p w:rsidR="0006004C" w:rsidRDefault="00D543DF" w:rsidP="00D543DF">
      <w:r>
        <w:t>Ainsi, nous avons enregistré un taux de guérison de 100%  pour le GLRV III et le GFKV ; le GFLV par contre s'est révélé persistant, le taux de guérison étant de 17</w:t>
      </w:r>
      <w:proofErr w:type="gramStart"/>
      <w:r>
        <w:t>% ,</w:t>
      </w:r>
      <w:proofErr w:type="gramEnd"/>
      <w:r>
        <w:t xml:space="preserve"> il nécessite d'associer la thermothérapie  à culture in vitro de méristèmes.</w:t>
      </w:r>
    </w:p>
    <w:sectPr w:rsidR="0006004C" w:rsidSect="0006004C">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543DF"/>
    <w:rsid w:val="0006004C"/>
    <w:rsid w:val="00D543D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004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194</Words>
  <Characters>1071</Characters>
  <Application>Microsoft Office Word</Application>
  <DocSecurity>0</DocSecurity>
  <Lines>8</Lines>
  <Paragraphs>2</Paragraphs>
  <ScaleCrop>false</ScaleCrop>
  <Company/>
  <LinksUpToDate>false</LinksUpToDate>
  <CharactersWithSpaces>1263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2015-03-18T08:51:00Z</dcterms:created>
  <dcterms:modified xsi:type="dcterms:W3CDTF">2015-03-18T08:53:00Z</dcterms:modified>
</cp:coreProperties>
</file>