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8BD" w:rsidRPr="007725A2" w:rsidRDefault="00C228BD" w:rsidP="00EC41BB">
      <w:pPr>
        <w:spacing w:after="0" w:line="360" w:lineRule="auto"/>
        <w:jc w:val="center"/>
        <w:rPr>
          <w:rFonts w:asciiTheme="majorBidi" w:hAnsiTheme="majorBidi" w:cstheme="majorBidi"/>
          <w:b/>
          <w:bCs/>
          <w:sz w:val="28"/>
          <w:szCs w:val="28"/>
        </w:rPr>
      </w:pPr>
      <w:r w:rsidRPr="00AA6E6E">
        <w:rPr>
          <w:rFonts w:asciiTheme="majorBidi" w:hAnsiTheme="majorBidi" w:cstheme="majorBidi"/>
          <w:b/>
          <w:bCs/>
          <w:sz w:val="28"/>
          <w:szCs w:val="28"/>
        </w:rPr>
        <w:t>Résumé</w:t>
      </w:r>
    </w:p>
    <w:p w:rsidR="00917C05" w:rsidRDefault="00EA0D73" w:rsidP="00A10813">
      <w:pPr>
        <w:spacing w:after="120" w:line="360" w:lineRule="auto"/>
        <w:ind w:firstLine="709"/>
        <w:jc w:val="both"/>
        <w:rPr>
          <w:rFonts w:asciiTheme="majorBidi" w:hAnsiTheme="majorBidi" w:cstheme="majorBidi"/>
          <w:sz w:val="20"/>
          <w:szCs w:val="20"/>
        </w:rPr>
      </w:pPr>
      <w:r w:rsidRPr="002530E5">
        <w:rPr>
          <w:rFonts w:asciiTheme="majorBidi" w:hAnsiTheme="majorBidi" w:cstheme="majorBidi"/>
          <w:sz w:val="20"/>
          <w:szCs w:val="20"/>
        </w:rPr>
        <w:t xml:space="preserve">Le présent travail est </w:t>
      </w:r>
      <w:r w:rsidR="002530E5" w:rsidRPr="002530E5">
        <w:rPr>
          <w:rFonts w:asciiTheme="majorBidi" w:hAnsiTheme="majorBidi" w:cstheme="majorBidi"/>
          <w:sz w:val="20"/>
          <w:szCs w:val="20"/>
        </w:rPr>
        <w:t>une simulation numérique de la c</w:t>
      </w:r>
      <w:r w:rsidRPr="002530E5">
        <w:rPr>
          <w:rFonts w:asciiTheme="majorBidi" w:hAnsiTheme="majorBidi" w:cstheme="majorBidi"/>
          <w:sz w:val="20"/>
          <w:szCs w:val="20"/>
        </w:rPr>
        <w:t xml:space="preserve">onvection mixte MHD d’un nanofluide Cuivre-eau </w:t>
      </w:r>
      <w:r w:rsidR="003512E3" w:rsidRPr="002530E5">
        <w:rPr>
          <w:rFonts w:asciiTheme="majorBidi" w:hAnsiTheme="majorBidi" w:cstheme="majorBidi"/>
          <w:sz w:val="20"/>
          <w:szCs w:val="20"/>
        </w:rPr>
        <w:t xml:space="preserve">dans un canal </w:t>
      </w:r>
      <w:r w:rsidR="00EC41BB">
        <w:rPr>
          <w:rFonts w:asciiTheme="majorBidi" w:hAnsiTheme="majorBidi" w:cstheme="majorBidi"/>
          <w:sz w:val="20"/>
          <w:szCs w:val="20"/>
        </w:rPr>
        <w:t xml:space="preserve">poreux </w:t>
      </w:r>
      <w:r w:rsidR="003512E3" w:rsidRPr="002530E5">
        <w:rPr>
          <w:rFonts w:asciiTheme="majorBidi" w:hAnsiTheme="majorBidi" w:cstheme="majorBidi"/>
          <w:sz w:val="20"/>
          <w:szCs w:val="20"/>
        </w:rPr>
        <w:t xml:space="preserve">vertical </w:t>
      </w:r>
      <w:r w:rsidR="003512E3" w:rsidRPr="002530E5">
        <w:rPr>
          <w:rFonts w:asciiTheme="majorBidi" w:hAnsiTheme="majorBidi" w:cstheme="majorBidi"/>
          <w:color w:val="000000" w:themeColor="text1"/>
          <w:sz w:val="20"/>
          <w:szCs w:val="20"/>
        </w:rPr>
        <w:t xml:space="preserve">muni de sources de chaleur sur </w:t>
      </w:r>
      <w:r w:rsidR="006922F6" w:rsidRPr="002530E5">
        <w:rPr>
          <w:rFonts w:asciiTheme="majorBidi" w:hAnsiTheme="majorBidi" w:cstheme="majorBidi"/>
          <w:color w:val="000000" w:themeColor="text1"/>
          <w:sz w:val="20"/>
          <w:szCs w:val="20"/>
        </w:rPr>
        <w:t>l’</w:t>
      </w:r>
      <w:r w:rsidR="003512E3" w:rsidRPr="002530E5">
        <w:rPr>
          <w:rFonts w:asciiTheme="majorBidi" w:hAnsiTheme="majorBidi" w:cstheme="majorBidi"/>
          <w:color w:val="000000" w:themeColor="text1"/>
          <w:sz w:val="20"/>
          <w:szCs w:val="20"/>
        </w:rPr>
        <w:t>une de ses parois.</w:t>
      </w:r>
      <w:r w:rsidR="002530E5" w:rsidRPr="002530E5">
        <w:rPr>
          <w:rFonts w:asciiTheme="majorBidi" w:hAnsiTheme="majorBidi" w:cstheme="majorBidi"/>
          <w:color w:val="000000" w:themeColor="text1"/>
          <w:sz w:val="20"/>
          <w:szCs w:val="20"/>
        </w:rPr>
        <w:t xml:space="preserve"> </w:t>
      </w:r>
      <w:r w:rsidR="002530E5" w:rsidRPr="002530E5">
        <w:rPr>
          <w:rFonts w:asciiTheme="majorBidi" w:hAnsiTheme="majorBidi" w:cstheme="majorBidi"/>
          <w:sz w:val="20"/>
          <w:szCs w:val="20"/>
        </w:rPr>
        <w:t>Le champ magnétique externe</w:t>
      </w:r>
      <w:r w:rsidR="002530E5">
        <w:rPr>
          <w:rFonts w:asciiTheme="majorBidi" w:hAnsiTheme="majorBidi" w:cstheme="majorBidi"/>
          <w:sz w:val="20"/>
          <w:szCs w:val="20"/>
        </w:rPr>
        <w:t xml:space="preserve"> est soit d’intensité uniforme ou variable au cours du temps (champ magnétique évanescent).</w:t>
      </w:r>
      <w:r w:rsidR="002530E5" w:rsidRPr="002530E5">
        <w:rPr>
          <w:rFonts w:asciiTheme="majorBidi" w:hAnsiTheme="majorBidi" w:cstheme="majorBidi"/>
          <w:sz w:val="20"/>
          <w:szCs w:val="20"/>
        </w:rPr>
        <w:t xml:space="preserve"> </w:t>
      </w:r>
      <w:r w:rsidR="006922F6" w:rsidRPr="002530E5">
        <w:rPr>
          <w:rFonts w:asciiTheme="majorBidi" w:hAnsiTheme="majorBidi" w:cstheme="majorBidi"/>
          <w:color w:val="000000" w:themeColor="text1"/>
          <w:sz w:val="20"/>
          <w:szCs w:val="20"/>
        </w:rPr>
        <w:t>Le modèle de Darcy-</w:t>
      </w:r>
      <w:proofErr w:type="spellStart"/>
      <w:r w:rsidR="006922F6" w:rsidRPr="002530E5">
        <w:rPr>
          <w:rFonts w:asciiTheme="majorBidi" w:hAnsiTheme="majorBidi" w:cstheme="majorBidi"/>
          <w:color w:val="000000" w:themeColor="text1"/>
          <w:sz w:val="20"/>
          <w:szCs w:val="20"/>
        </w:rPr>
        <w:t>Brinkman</w:t>
      </w:r>
      <w:proofErr w:type="spellEnd"/>
      <w:r w:rsidR="006922F6" w:rsidRPr="002530E5">
        <w:rPr>
          <w:rFonts w:asciiTheme="majorBidi" w:hAnsiTheme="majorBidi" w:cstheme="majorBidi"/>
          <w:color w:val="000000" w:themeColor="text1"/>
          <w:sz w:val="20"/>
          <w:szCs w:val="20"/>
        </w:rPr>
        <w:t>-</w:t>
      </w:r>
      <w:proofErr w:type="spellStart"/>
      <w:r w:rsidR="006922F6" w:rsidRPr="002530E5">
        <w:rPr>
          <w:rFonts w:asciiTheme="majorBidi" w:hAnsiTheme="majorBidi" w:cstheme="majorBidi"/>
          <w:color w:val="000000" w:themeColor="text1"/>
          <w:sz w:val="20"/>
          <w:szCs w:val="20"/>
        </w:rPr>
        <w:t>Forchheimer</w:t>
      </w:r>
      <w:proofErr w:type="spellEnd"/>
      <w:r w:rsidR="00CF5804" w:rsidRPr="002530E5">
        <w:rPr>
          <w:rFonts w:asciiTheme="majorBidi" w:hAnsiTheme="majorBidi" w:cstheme="majorBidi"/>
          <w:color w:val="000000" w:themeColor="text1"/>
          <w:sz w:val="20"/>
          <w:szCs w:val="20"/>
        </w:rPr>
        <w:t xml:space="preserve"> </w:t>
      </w:r>
      <w:r w:rsidR="002530E5">
        <w:rPr>
          <w:rFonts w:asciiTheme="majorBidi" w:hAnsiTheme="majorBidi" w:cstheme="majorBidi"/>
          <w:color w:val="000000" w:themeColor="text1"/>
          <w:sz w:val="20"/>
          <w:szCs w:val="20"/>
        </w:rPr>
        <w:t>est</w:t>
      </w:r>
      <w:r w:rsidR="00CF5804" w:rsidRPr="002530E5">
        <w:rPr>
          <w:rFonts w:asciiTheme="majorBidi" w:hAnsiTheme="majorBidi" w:cstheme="majorBidi"/>
          <w:color w:val="000000" w:themeColor="text1"/>
          <w:sz w:val="20"/>
          <w:szCs w:val="20"/>
        </w:rPr>
        <w:t xml:space="preserve"> utilisé pour décrire </w:t>
      </w:r>
      <w:r w:rsidR="0003076B" w:rsidRPr="002530E5">
        <w:rPr>
          <w:rFonts w:asciiTheme="majorBidi" w:hAnsiTheme="majorBidi" w:cstheme="majorBidi"/>
          <w:color w:val="000000" w:themeColor="text1"/>
          <w:sz w:val="20"/>
          <w:szCs w:val="20"/>
        </w:rPr>
        <w:t>l’écoulement</w:t>
      </w:r>
      <w:r w:rsidR="00CF5804" w:rsidRPr="002530E5">
        <w:rPr>
          <w:rFonts w:asciiTheme="majorBidi" w:hAnsiTheme="majorBidi" w:cstheme="majorBidi"/>
          <w:color w:val="000000" w:themeColor="text1"/>
          <w:sz w:val="20"/>
          <w:szCs w:val="20"/>
        </w:rPr>
        <w:t xml:space="preserve"> dans le milieu poreux</w:t>
      </w:r>
      <w:r w:rsidR="002530E5">
        <w:rPr>
          <w:rFonts w:asciiTheme="majorBidi" w:hAnsiTheme="majorBidi" w:cstheme="majorBidi"/>
          <w:color w:val="000000" w:themeColor="text1"/>
          <w:sz w:val="20"/>
          <w:szCs w:val="20"/>
        </w:rPr>
        <w:t xml:space="preserve"> avec les</w:t>
      </w:r>
      <w:r w:rsidR="004646B1" w:rsidRPr="002530E5">
        <w:rPr>
          <w:rFonts w:asciiTheme="majorBidi" w:hAnsiTheme="majorBidi" w:cstheme="majorBidi"/>
          <w:color w:val="000000" w:themeColor="text1"/>
          <w:sz w:val="20"/>
          <w:szCs w:val="20"/>
        </w:rPr>
        <w:t xml:space="preserve"> </w:t>
      </w:r>
      <w:r w:rsidR="00DD1B4C" w:rsidRPr="002530E5">
        <w:rPr>
          <w:rFonts w:asciiTheme="majorBidi" w:hAnsiTheme="majorBidi" w:cstheme="majorBidi"/>
          <w:color w:val="000000" w:themeColor="text1"/>
          <w:sz w:val="20"/>
          <w:szCs w:val="20"/>
        </w:rPr>
        <w:t xml:space="preserve">deux </w:t>
      </w:r>
      <w:r w:rsidR="005375A8" w:rsidRPr="002530E5">
        <w:rPr>
          <w:rFonts w:asciiTheme="majorBidi" w:hAnsiTheme="majorBidi" w:cstheme="majorBidi"/>
          <w:color w:val="000000" w:themeColor="text1"/>
          <w:sz w:val="20"/>
          <w:szCs w:val="20"/>
        </w:rPr>
        <w:t xml:space="preserve">approches </w:t>
      </w:r>
      <w:r w:rsidR="002530E5">
        <w:rPr>
          <w:rFonts w:asciiTheme="majorBidi" w:hAnsiTheme="majorBidi" w:cstheme="majorBidi"/>
          <w:color w:val="000000" w:themeColor="text1"/>
          <w:sz w:val="20"/>
          <w:szCs w:val="20"/>
        </w:rPr>
        <w:t xml:space="preserve">monophasique et diphasique </w:t>
      </w:r>
      <w:r w:rsidR="00FA3594">
        <w:rPr>
          <w:rFonts w:asciiTheme="majorBidi" w:hAnsiTheme="majorBidi" w:cstheme="majorBidi"/>
          <w:color w:val="000000" w:themeColor="text1"/>
          <w:sz w:val="20"/>
          <w:szCs w:val="20"/>
        </w:rPr>
        <w:t>du mouvement</w:t>
      </w:r>
      <w:r w:rsidR="004646B1" w:rsidRPr="002530E5">
        <w:rPr>
          <w:rFonts w:asciiTheme="majorBidi" w:hAnsiTheme="majorBidi" w:cstheme="majorBidi"/>
          <w:color w:val="000000" w:themeColor="text1"/>
          <w:sz w:val="20"/>
          <w:szCs w:val="20"/>
        </w:rPr>
        <w:t xml:space="preserve"> des </w:t>
      </w:r>
      <w:proofErr w:type="spellStart"/>
      <w:r w:rsidR="005375A8" w:rsidRPr="002530E5">
        <w:rPr>
          <w:rFonts w:asciiTheme="majorBidi" w:hAnsiTheme="majorBidi" w:cstheme="majorBidi"/>
          <w:color w:val="000000" w:themeColor="text1"/>
          <w:sz w:val="20"/>
          <w:szCs w:val="20"/>
        </w:rPr>
        <w:t>nanofluides</w:t>
      </w:r>
      <w:proofErr w:type="spellEnd"/>
      <w:r w:rsidR="002530E5">
        <w:rPr>
          <w:rFonts w:asciiTheme="majorBidi" w:hAnsiTheme="majorBidi" w:cstheme="majorBidi"/>
          <w:color w:val="000000" w:themeColor="text1"/>
          <w:sz w:val="20"/>
          <w:szCs w:val="20"/>
        </w:rPr>
        <w:t xml:space="preserve">. </w:t>
      </w:r>
      <w:r w:rsidR="00EC41BB">
        <w:rPr>
          <w:rFonts w:asciiTheme="majorBidi" w:hAnsiTheme="majorBidi" w:cstheme="majorBidi"/>
          <w:color w:val="000000" w:themeColor="text1"/>
          <w:sz w:val="20"/>
          <w:szCs w:val="20"/>
        </w:rPr>
        <w:t xml:space="preserve">Les équations gouvernantes avec les conditions aux limites associées sont résolues par la méthode des volumes finis. </w:t>
      </w:r>
      <w:r w:rsidR="00680ECB" w:rsidRPr="002530E5">
        <w:rPr>
          <w:rFonts w:asciiTheme="majorBidi" w:hAnsiTheme="majorBidi" w:cstheme="majorBidi"/>
          <w:sz w:val="20"/>
          <w:szCs w:val="20"/>
        </w:rPr>
        <w:t>Pour un champ magnétique uniforme</w:t>
      </w:r>
      <w:r w:rsidR="00EC41BB">
        <w:rPr>
          <w:rFonts w:asciiTheme="majorBidi" w:hAnsiTheme="majorBidi" w:cstheme="majorBidi"/>
          <w:sz w:val="20"/>
          <w:szCs w:val="20"/>
        </w:rPr>
        <w:t xml:space="preserve">, </w:t>
      </w:r>
      <w:r w:rsidR="00680ECB" w:rsidRPr="002530E5">
        <w:rPr>
          <w:rFonts w:asciiTheme="majorBidi" w:hAnsiTheme="majorBidi" w:cstheme="majorBidi"/>
          <w:sz w:val="20"/>
          <w:szCs w:val="20"/>
        </w:rPr>
        <w:t xml:space="preserve"> </w:t>
      </w:r>
      <w:r w:rsidR="00680ECB" w:rsidRPr="002530E5">
        <w:rPr>
          <w:rFonts w:asciiTheme="majorBidi" w:hAnsiTheme="majorBidi" w:cstheme="majorBidi"/>
          <w:color w:val="000000" w:themeColor="text1"/>
          <w:sz w:val="20"/>
          <w:szCs w:val="20"/>
        </w:rPr>
        <w:t>les résultats montrent d’une part, une amélioration du transfert de chaleur par utilisation d’un milieu poreux, d’un nanofluide et sans la prise en compte de l’effet Joule. D’autre part, il y a accroissement de la génération d’entropie avec les paramètres de l’étude pour la majorité des cas considérés.  L’application d’un champ magnétique évanescent avec prise en comp</w:t>
      </w:r>
      <w:r w:rsidR="00134FEE" w:rsidRPr="002530E5">
        <w:rPr>
          <w:rFonts w:asciiTheme="majorBidi" w:hAnsiTheme="majorBidi" w:cstheme="majorBidi"/>
          <w:color w:val="000000" w:themeColor="text1"/>
          <w:sz w:val="20"/>
          <w:szCs w:val="20"/>
        </w:rPr>
        <w:t xml:space="preserve">te du chauffage par effet Joule, </w:t>
      </w:r>
      <w:r w:rsidR="00680ECB" w:rsidRPr="002530E5">
        <w:rPr>
          <w:rFonts w:asciiTheme="majorBidi" w:hAnsiTheme="majorBidi" w:cstheme="majorBidi"/>
          <w:color w:val="000000" w:themeColor="text1"/>
          <w:sz w:val="20"/>
          <w:szCs w:val="20"/>
        </w:rPr>
        <w:t xml:space="preserve">améliore le </w:t>
      </w:r>
      <w:r w:rsidR="00680ECB" w:rsidRPr="002530E5">
        <w:rPr>
          <w:rFonts w:asciiTheme="majorBidi" w:hAnsiTheme="majorBidi" w:cstheme="majorBidi"/>
          <w:sz w:val="20"/>
          <w:szCs w:val="20"/>
        </w:rPr>
        <w:t xml:space="preserve">refroidissement des sources avec des valeurs du nombre de </w:t>
      </w:r>
      <w:proofErr w:type="spellStart"/>
      <w:r w:rsidR="00680ECB" w:rsidRPr="002530E5">
        <w:rPr>
          <w:rFonts w:asciiTheme="majorBidi" w:hAnsiTheme="majorBidi" w:cstheme="majorBidi"/>
          <w:sz w:val="20"/>
          <w:szCs w:val="20"/>
        </w:rPr>
        <w:t>Nusselt</w:t>
      </w:r>
      <w:proofErr w:type="spellEnd"/>
      <w:r w:rsidR="00680ECB" w:rsidRPr="002530E5">
        <w:rPr>
          <w:rFonts w:asciiTheme="majorBidi" w:hAnsiTheme="majorBidi" w:cstheme="majorBidi"/>
          <w:sz w:val="20"/>
          <w:szCs w:val="20"/>
        </w:rPr>
        <w:t xml:space="preserve"> global</w:t>
      </w:r>
      <w:r w:rsidR="00EC41BB">
        <w:rPr>
          <w:rFonts w:asciiTheme="majorBidi" w:hAnsiTheme="majorBidi" w:cstheme="majorBidi"/>
          <w:sz w:val="20"/>
          <w:szCs w:val="20"/>
        </w:rPr>
        <w:t xml:space="preserve"> </w:t>
      </w:r>
      <w:proofErr w:type="spellStart"/>
      <w:r w:rsidR="00EC41BB" w:rsidRPr="002530E5">
        <w:rPr>
          <w:rFonts w:asciiTheme="majorBidi" w:hAnsiTheme="majorBidi" w:cstheme="majorBidi"/>
          <w:sz w:val="20"/>
          <w:szCs w:val="20"/>
        </w:rPr>
        <w:t>Nu</w:t>
      </w:r>
      <w:r w:rsidR="00EC41BB" w:rsidRPr="002530E5">
        <w:rPr>
          <w:rFonts w:asciiTheme="majorBidi" w:hAnsiTheme="majorBidi" w:cstheme="majorBidi"/>
          <w:sz w:val="20"/>
          <w:szCs w:val="20"/>
          <w:vertAlign w:val="subscript"/>
        </w:rPr>
        <w:t>g</w:t>
      </w:r>
      <w:proofErr w:type="spellEnd"/>
      <w:r w:rsidR="00680ECB" w:rsidRPr="002530E5">
        <w:rPr>
          <w:rFonts w:asciiTheme="majorBidi" w:hAnsiTheme="majorBidi" w:cstheme="majorBidi"/>
          <w:sz w:val="20"/>
          <w:szCs w:val="20"/>
        </w:rPr>
        <w:t xml:space="preserve">, à l’établissement, indépendantes du temps de relaxation </w:t>
      </w:r>
      <w:r w:rsidR="00680ECB" w:rsidRPr="002530E5">
        <w:rPr>
          <w:rFonts w:ascii="Symbol" w:hAnsi="Symbol" w:cstheme="majorBidi"/>
          <w:sz w:val="20"/>
          <w:szCs w:val="20"/>
        </w:rPr>
        <w:t></w:t>
      </w:r>
      <w:r w:rsidR="00680ECB" w:rsidRPr="002530E5">
        <w:rPr>
          <w:rFonts w:asciiTheme="majorBidi" w:hAnsiTheme="majorBidi" w:cstheme="majorBidi"/>
          <w:sz w:val="20"/>
          <w:szCs w:val="20"/>
          <w:vertAlign w:val="subscript"/>
        </w:rPr>
        <w:t>r</w:t>
      </w:r>
      <w:r w:rsidR="00680ECB" w:rsidRPr="002530E5">
        <w:rPr>
          <w:rFonts w:asciiTheme="majorBidi" w:hAnsiTheme="majorBidi" w:cstheme="majorBidi"/>
          <w:sz w:val="20"/>
          <w:szCs w:val="20"/>
        </w:rPr>
        <w:t xml:space="preserve"> et du nombre de Hartmann initial Ha</w:t>
      </w:r>
      <w:r w:rsidR="00EC41BB" w:rsidRPr="00EC41BB">
        <w:rPr>
          <w:rFonts w:asciiTheme="majorBidi" w:hAnsiTheme="majorBidi" w:cstheme="majorBidi"/>
          <w:sz w:val="20"/>
          <w:szCs w:val="20"/>
          <w:vertAlign w:val="subscript"/>
        </w:rPr>
        <w:t>0</w:t>
      </w:r>
      <w:r w:rsidR="00680ECB" w:rsidRPr="002530E5">
        <w:rPr>
          <w:rFonts w:asciiTheme="majorBidi" w:hAnsiTheme="majorBidi" w:cstheme="majorBidi"/>
          <w:sz w:val="20"/>
          <w:szCs w:val="20"/>
        </w:rPr>
        <w:t>.  Pendant la phase transitoire</w:t>
      </w:r>
      <w:r w:rsidR="00EC41BB">
        <w:rPr>
          <w:rFonts w:asciiTheme="majorBidi" w:hAnsiTheme="majorBidi" w:cstheme="majorBidi"/>
          <w:sz w:val="20"/>
          <w:szCs w:val="20"/>
        </w:rPr>
        <w:t>,</w:t>
      </w:r>
      <w:r w:rsidR="00680ECB" w:rsidRPr="002530E5">
        <w:rPr>
          <w:rFonts w:asciiTheme="majorBidi" w:hAnsiTheme="majorBidi" w:cstheme="majorBidi"/>
          <w:sz w:val="20"/>
          <w:szCs w:val="20"/>
        </w:rPr>
        <w:t xml:space="preserve"> réduire </w:t>
      </w:r>
      <w:r w:rsidR="00680ECB" w:rsidRPr="002530E5">
        <w:rPr>
          <w:rFonts w:ascii="Symbol" w:hAnsi="Symbol" w:cstheme="majorBidi"/>
          <w:sz w:val="20"/>
          <w:szCs w:val="20"/>
        </w:rPr>
        <w:t></w:t>
      </w:r>
      <w:r w:rsidR="00680ECB" w:rsidRPr="002530E5">
        <w:rPr>
          <w:rFonts w:asciiTheme="majorBidi" w:hAnsiTheme="majorBidi" w:cstheme="majorBidi"/>
          <w:sz w:val="20"/>
          <w:szCs w:val="20"/>
          <w:vertAlign w:val="subscript"/>
        </w:rPr>
        <w:t>r</w:t>
      </w:r>
      <w:r w:rsidR="00680ECB" w:rsidRPr="002530E5">
        <w:rPr>
          <w:rFonts w:asciiTheme="majorBidi" w:hAnsiTheme="majorBidi" w:cstheme="majorBidi"/>
          <w:sz w:val="20"/>
          <w:szCs w:val="20"/>
        </w:rPr>
        <w:t xml:space="preserve"> et Ha</w:t>
      </w:r>
      <w:r w:rsidR="00EC41BB" w:rsidRPr="00EC41BB">
        <w:rPr>
          <w:rFonts w:asciiTheme="majorBidi" w:hAnsiTheme="majorBidi" w:cstheme="majorBidi"/>
          <w:sz w:val="20"/>
          <w:szCs w:val="20"/>
          <w:vertAlign w:val="subscript"/>
        </w:rPr>
        <w:t>0</w:t>
      </w:r>
      <w:r w:rsidR="00680ECB" w:rsidRPr="002530E5">
        <w:rPr>
          <w:rFonts w:asciiTheme="majorBidi" w:hAnsiTheme="majorBidi" w:cstheme="majorBidi"/>
          <w:sz w:val="20"/>
          <w:szCs w:val="20"/>
        </w:rPr>
        <w:t xml:space="preserve"> conduit à des valeurs plus grandes de </w:t>
      </w:r>
      <w:proofErr w:type="spellStart"/>
      <w:r w:rsidR="00680ECB" w:rsidRPr="002530E5">
        <w:rPr>
          <w:rFonts w:asciiTheme="majorBidi" w:hAnsiTheme="majorBidi" w:cstheme="majorBidi"/>
          <w:sz w:val="20"/>
          <w:szCs w:val="20"/>
        </w:rPr>
        <w:t>Nu</w:t>
      </w:r>
      <w:r w:rsidR="00680ECB" w:rsidRPr="002530E5">
        <w:rPr>
          <w:rFonts w:asciiTheme="majorBidi" w:hAnsiTheme="majorBidi" w:cstheme="majorBidi"/>
          <w:sz w:val="20"/>
          <w:szCs w:val="20"/>
          <w:vertAlign w:val="subscript"/>
        </w:rPr>
        <w:t>g</w:t>
      </w:r>
      <w:proofErr w:type="spellEnd"/>
      <w:r w:rsidR="00680ECB" w:rsidRPr="002530E5">
        <w:rPr>
          <w:rFonts w:asciiTheme="majorBidi" w:hAnsiTheme="majorBidi" w:cstheme="majorBidi"/>
          <w:sz w:val="20"/>
          <w:szCs w:val="20"/>
        </w:rPr>
        <w:t>.</w:t>
      </w:r>
      <w:r w:rsidR="00A14B6E" w:rsidRPr="002530E5">
        <w:rPr>
          <w:rFonts w:asciiTheme="majorBidi" w:hAnsiTheme="majorBidi" w:cstheme="majorBidi"/>
          <w:sz w:val="20"/>
          <w:szCs w:val="20"/>
        </w:rPr>
        <w:t xml:space="preserve"> En appliquant l’approche diphasique, </w:t>
      </w:r>
      <w:r w:rsidR="00EC41BB">
        <w:rPr>
          <w:rFonts w:asciiTheme="majorBidi" w:hAnsiTheme="majorBidi" w:cstheme="majorBidi"/>
          <w:sz w:val="20"/>
          <w:szCs w:val="20"/>
        </w:rPr>
        <w:t>la prise en compte du</w:t>
      </w:r>
      <w:r w:rsidR="00A14B6E" w:rsidRPr="002530E5">
        <w:rPr>
          <w:rFonts w:asciiTheme="majorBidi" w:hAnsiTheme="majorBidi" w:cstheme="majorBidi"/>
          <w:sz w:val="20"/>
          <w:szCs w:val="20"/>
        </w:rPr>
        <w:t xml:space="preserve"> mouvement Brownien et </w:t>
      </w:r>
      <w:r w:rsidR="00EC41BB">
        <w:rPr>
          <w:rFonts w:asciiTheme="majorBidi" w:hAnsiTheme="majorBidi" w:cstheme="majorBidi"/>
          <w:sz w:val="20"/>
          <w:szCs w:val="20"/>
        </w:rPr>
        <w:t xml:space="preserve">de l‘effet </w:t>
      </w:r>
      <w:proofErr w:type="spellStart"/>
      <w:r w:rsidR="00EC41BB">
        <w:rPr>
          <w:rFonts w:asciiTheme="majorBidi" w:hAnsiTheme="majorBidi" w:cstheme="majorBidi"/>
          <w:sz w:val="20"/>
          <w:szCs w:val="20"/>
        </w:rPr>
        <w:t>t</w:t>
      </w:r>
      <w:r w:rsidR="00A14B6E" w:rsidRPr="002530E5">
        <w:rPr>
          <w:rFonts w:asciiTheme="majorBidi" w:hAnsiTheme="majorBidi" w:cstheme="majorBidi"/>
          <w:sz w:val="20"/>
          <w:szCs w:val="20"/>
        </w:rPr>
        <w:t>hermophorèse</w:t>
      </w:r>
      <w:proofErr w:type="spellEnd"/>
      <w:r w:rsidR="008E26FA" w:rsidRPr="002530E5">
        <w:rPr>
          <w:rFonts w:asciiTheme="majorBidi" w:hAnsiTheme="majorBidi" w:cstheme="majorBidi"/>
          <w:sz w:val="20"/>
          <w:szCs w:val="20"/>
        </w:rPr>
        <w:t xml:space="preserve"> </w:t>
      </w:r>
      <w:r w:rsidR="00EC41BB">
        <w:rPr>
          <w:rFonts w:asciiTheme="majorBidi" w:hAnsiTheme="majorBidi" w:cstheme="majorBidi"/>
          <w:sz w:val="20"/>
          <w:szCs w:val="20"/>
        </w:rPr>
        <w:t xml:space="preserve">influence </w:t>
      </w:r>
      <w:r w:rsidR="00917C05" w:rsidRPr="002530E5">
        <w:rPr>
          <w:rFonts w:asciiTheme="majorBidi" w:hAnsiTheme="majorBidi" w:cstheme="majorBidi"/>
          <w:sz w:val="20"/>
          <w:szCs w:val="20"/>
        </w:rPr>
        <w:t>beaucoup plus la distribution spatiale de la fraction volumique en nanoparticules que</w:t>
      </w:r>
      <w:r w:rsidR="00322558" w:rsidRPr="002530E5">
        <w:rPr>
          <w:rFonts w:asciiTheme="majorBidi" w:hAnsiTheme="majorBidi" w:cstheme="majorBidi"/>
          <w:sz w:val="20"/>
          <w:szCs w:val="20"/>
        </w:rPr>
        <w:t xml:space="preserve"> </w:t>
      </w:r>
      <w:r w:rsidR="00917C05" w:rsidRPr="002530E5">
        <w:rPr>
          <w:rFonts w:asciiTheme="majorBidi" w:hAnsiTheme="majorBidi" w:cstheme="majorBidi"/>
          <w:sz w:val="20"/>
          <w:szCs w:val="20"/>
        </w:rPr>
        <w:t>les transferts globaux. Une distribution fortement non uniforme des nanoparticules est obtenue aux faibles valeurs du paramètre du mouvement Brownien, aux grandes valeurs du paramèt</w:t>
      </w:r>
      <w:bookmarkStart w:id="0" w:name="_GoBack"/>
      <w:bookmarkEnd w:id="0"/>
      <w:r w:rsidR="00917C05" w:rsidRPr="002530E5">
        <w:rPr>
          <w:rFonts w:asciiTheme="majorBidi" w:hAnsiTheme="majorBidi" w:cstheme="majorBidi"/>
          <w:sz w:val="20"/>
          <w:szCs w:val="20"/>
        </w:rPr>
        <w:t xml:space="preserve">re </w:t>
      </w:r>
      <w:r w:rsidR="00322558" w:rsidRPr="002530E5">
        <w:rPr>
          <w:rFonts w:asciiTheme="majorBidi" w:hAnsiTheme="majorBidi" w:cstheme="majorBidi"/>
          <w:sz w:val="20"/>
          <w:szCs w:val="20"/>
        </w:rPr>
        <w:t>thermophorèse</w:t>
      </w:r>
      <w:r w:rsidR="00917C05" w:rsidRPr="002530E5">
        <w:rPr>
          <w:rFonts w:asciiTheme="majorBidi" w:hAnsiTheme="majorBidi" w:cstheme="majorBidi"/>
          <w:sz w:val="20"/>
          <w:szCs w:val="20"/>
        </w:rPr>
        <w:t xml:space="preserve"> et aux fortes intensités du champ magnétique.</w:t>
      </w:r>
    </w:p>
    <w:p w:rsidR="00C9795F" w:rsidRPr="002530E5" w:rsidRDefault="00C228BD" w:rsidP="00A10813">
      <w:pPr>
        <w:spacing w:after="120" w:line="360" w:lineRule="auto"/>
        <w:jc w:val="both"/>
        <w:rPr>
          <w:rFonts w:asciiTheme="majorBidi" w:hAnsiTheme="majorBidi" w:cstheme="majorBidi"/>
          <w:i/>
          <w:iCs/>
          <w:color w:val="000000" w:themeColor="text1"/>
          <w:sz w:val="20"/>
          <w:szCs w:val="20"/>
        </w:rPr>
      </w:pPr>
      <w:r w:rsidRPr="002530E5">
        <w:rPr>
          <w:rFonts w:asciiTheme="majorBidi" w:hAnsiTheme="majorBidi" w:cstheme="majorBidi"/>
          <w:i/>
          <w:iCs/>
          <w:color w:val="000000" w:themeColor="text1"/>
          <w:sz w:val="20"/>
          <w:szCs w:val="20"/>
        </w:rPr>
        <w:t>Mo</w:t>
      </w:r>
      <w:r w:rsidR="00EC41BB">
        <w:rPr>
          <w:rFonts w:asciiTheme="majorBidi" w:hAnsiTheme="majorBidi" w:cstheme="majorBidi"/>
          <w:i/>
          <w:iCs/>
          <w:color w:val="000000" w:themeColor="text1"/>
          <w:sz w:val="20"/>
          <w:szCs w:val="20"/>
        </w:rPr>
        <w:t>ts clés : Convection mixte MHD</w:t>
      </w:r>
      <w:r w:rsidR="00FA3594">
        <w:rPr>
          <w:rFonts w:asciiTheme="majorBidi" w:hAnsiTheme="majorBidi" w:cstheme="majorBidi"/>
          <w:i/>
          <w:iCs/>
          <w:color w:val="000000" w:themeColor="text1"/>
          <w:sz w:val="20"/>
          <w:szCs w:val="20"/>
        </w:rPr>
        <w:t xml:space="preserve"> </w:t>
      </w:r>
      <w:r w:rsidR="00EC41BB">
        <w:rPr>
          <w:rFonts w:asciiTheme="majorBidi" w:hAnsiTheme="majorBidi" w:cstheme="majorBidi"/>
          <w:i/>
          <w:iCs/>
          <w:color w:val="000000" w:themeColor="text1"/>
          <w:sz w:val="20"/>
          <w:szCs w:val="20"/>
        </w:rPr>
        <w:t xml:space="preserve">; </w:t>
      </w:r>
      <w:r w:rsidRPr="002530E5">
        <w:rPr>
          <w:rFonts w:asciiTheme="majorBidi" w:hAnsiTheme="majorBidi" w:cstheme="majorBidi"/>
          <w:i/>
          <w:iCs/>
          <w:color w:val="000000" w:themeColor="text1"/>
          <w:sz w:val="20"/>
          <w:szCs w:val="20"/>
        </w:rPr>
        <w:t xml:space="preserve">Canal poreux ; </w:t>
      </w:r>
      <w:proofErr w:type="spellStart"/>
      <w:r w:rsidRPr="002530E5">
        <w:rPr>
          <w:rFonts w:asciiTheme="majorBidi" w:hAnsiTheme="majorBidi" w:cstheme="majorBidi"/>
          <w:i/>
          <w:iCs/>
          <w:color w:val="000000" w:themeColor="text1"/>
          <w:sz w:val="20"/>
          <w:szCs w:val="20"/>
        </w:rPr>
        <w:t>Nanofluide</w:t>
      </w:r>
      <w:proofErr w:type="spellEnd"/>
      <w:r w:rsidR="00EC41BB">
        <w:rPr>
          <w:rFonts w:asciiTheme="majorBidi" w:hAnsiTheme="majorBidi" w:cstheme="majorBidi"/>
          <w:i/>
          <w:iCs/>
          <w:color w:val="000000" w:themeColor="text1"/>
          <w:sz w:val="20"/>
          <w:szCs w:val="20"/>
        </w:rPr>
        <w:t> ;</w:t>
      </w:r>
      <w:r w:rsidR="00FA3594">
        <w:rPr>
          <w:rFonts w:asciiTheme="majorBidi" w:hAnsiTheme="majorBidi" w:cstheme="majorBidi"/>
          <w:i/>
          <w:iCs/>
          <w:color w:val="000000" w:themeColor="text1"/>
          <w:sz w:val="20"/>
          <w:szCs w:val="20"/>
        </w:rPr>
        <w:t xml:space="preserve"> </w:t>
      </w:r>
      <w:r w:rsidR="00EC41BB">
        <w:rPr>
          <w:rFonts w:asciiTheme="majorBidi" w:hAnsiTheme="majorBidi" w:cstheme="majorBidi"/>
          <w:i/>
          <w:iCs/>
          <w:color w:val="000000" w:themeColor="text1"/>
          <w:sz w:val="20"/>
          <w:szCs w:val="20"/>
        </w:rPr>
        <w:t xml:space="preserve">Mouvement Brownien ; Effet </w:t>
      </w:r>
      <w:proofErr w:type="spellStart"/>
      <w:r w:rsidR="00EC41BB">
        <w:rPr>
          <w:rFonts w:asciiTheme="majorBidi" w:hAnsiTheme="majorBidi" w:cstheme="majorBidi"/>
          <w:i/>
          <w:iCs/>
          <w:color w:val="000000" w:themeColor="text1"/>
          <w:sz w:val="20"/>
          <w:szCs w:val="20"/>
        </w:rPr>
        <w:t>thermophorèse</w:t>
      </w:r>
      <w:proofErr w:type="spellEnd"/>
      <w:r w:rsidR="00EC41BB">
        <w:rPr>
          <w:rFonts w:asciiTheme="majorBidi" w:hAnsiTheme="majorBidi" w:cstheme="majorBidi"/>
          <w:i/>
          <w:iCs/>
          <w:color w:val="000000" w:themeColor="text1"/>
          <w:sz w:val="20"/>
          <w:szCs w:val="20"/>
        </w:rPr>
        <w:t xml:space="preserve"> </w:t>
      </w:r>
    </w:p>
    <w:p w:rsidR="00EC41BB" w:rsidRPr="00FA3594" w:rsidRDefault="00EC41BB" w:rsidP="00EC41BB">
      <w:pPr>
        <w:spacing w:after="0" w:line="360" w:lineRule="auto"/>
        <w:jc w:val="center"/>
        <w:rPr>
          <w:rFonts w:asciiTheme="majorBidi" w:hAnsiTheme="majorBidi" w:cstheme="majorBidi"/>
          <w:b/>
          <w:bCs/>
          <w:sz w:val="28"/>
          <w:szCs w:val="28"/>
        </w:rPr>
      </w:pPr>
    </w:p>
    <w:p w:rsidR="00EA0D73" w:rsidRPr="00C228BD" w:rsidRDefault="00C228BD" w:rsidP="00EC41BB">
      <w:pPr>
        <w:spacing w:after="0" w:line="360" w:lineRule="auto"/>
        <w:jc w:val="center"/>
        <w:rPr>
          <w:rFonts w:asciiTheme="majorBidi" w:hAnsiTheme="majorBidi" w:cstheme="majorBidi"/>
          <w:b/>
          <w:bCs/>
          <w:sz w:val="28"/>
          <w:szCs w:val="28"/>
          <w:lang w:val="en-US"/>
        </w:rPr>
      </w:pPr>
      <w:r>
        <w:rPr>
          <w:rFonts w:asciiTheme="majorBidi" w:hAnsiTheme="majorBidi" w:cstheme="majorBidi"/>
          <w:b/>
          <w:bCs/>
          <w:sz w:val="28"/>
          <w:szCs w:val="28"/>
          <w:lang w:val="en-US"/>
        </w:rPr>
        <w:t>Abstract</w:t>
      </w:r>
    </w:p>
    <w:p w:rsidR="00EC41BB" w:rsidRDefault="00943F6A" w:rsidP="00A10813">
      <w:pPr>
        <w:autoSpaceDE w:val="0"/>
        <w:autoSpaceDN w:val="0"/>
        <w:adjustRightInd w:val="0"/>
        <w:spacing w:after="120" w:line="360" w:lineRule="auto"/>
        <w:ind w:firstLine="709"/>
        <w:jc w:val="both"/>
        <w:rPr>
          <w:rFonts w:asciiTheme="majorBidi" w:hAnsiTheme="majorBidi" w:cstheme="majorBidi"/>
          <w:sz w:val="20"/>
          <w:szCs w:val="20"/>
          <w:lang w:val="en-US"/>
        </w:rPr>
      </w:pPr>
      <w:r w:rsidRPr="002530E5">
        <w:rPr>
          <w:rFonts w:asciiTheme="majorBidi" w:hAnsiTheme="majorBidi" w:cstheme="majorBidi"/>
          <w:sz w:val="20"/>
          <w:szCs w:val="20"/>
          <w:lang w:val="en-US"/>
        </w:rPr>
        <w:t>This work is a numerical simulation of MHD mixed convection of Cu-</w:t>
      </w:r>
      <w:r w:rsidR="00FA3594">
        <w:rPr>
          <w:rFonts w:asciiTheme="majorBidi" w:hAnsiTheme="majorBidi" w:cstheme="majorBidi"/>
          <w:sz w:val="20"/>
          <w:szCs w:val="20"/>
          <w:lang w:val="en-US"/>
        </w:rPr>
        <w:t>w</w:t>
      </w:r>
      <w:r w:rsidRPr="002530E5">
        <w:rPr>
          <w:rFonts w:asciiTheme="majorBidi" w:hAnsiTheme="majorBidi" w:cstheme="majorBidi"/>
          <w:sz w:val="20"/>
          <w:szCs w:val="20"/>
          <w:lang w:val="en-US"/>
        </w:rPr>
        <w:t xml:space="preserve">ater </w:t>
      </w:r>
      <w:proofErr w:type="spellStart"/>
      <w:r w:rsidRPr="002530E5">
        <w:rPr>
          <w:rFonts w:asciiTheme="majorBidi" w:hAnsiTheme="majorBidi" w:cstheme="majorBidi"/>
          <w:sz w:val="20"/>
          <w:szCs w:val="20"/>
          <w:lang w:val="en-US"/>
        </w:rPr>
        <w:t>nanofluid</w:t>
      </w:r>
      <w:proofErr w:type="spellEnd"/>
      <w:r w:rsidRPr="002530E5">
        <w:rPr>
          <w:rFonts w:asciiTheme="majorBidi" w:hAnsiTheme="majorBidi" w:cstheme="majorBidi"/>
          <w:sz w:val="20"/>
          <w:szCs w:val="20"/>
          <w:lang w:val="en-US"/>
        </w:rPr>
        <w:t xml:space="preserve"> in a vertical porous channel with heat sources on one of its walls.</w:t>
      </w:r>
      <w:r w:rsidR="00FA3594">
        <w:rPr>
          <w:rFonts w:asciiTheme="majorBidi" w:hAnsiTheme="majorBidi" w:cstheme="majorBidi"/>
          <w:sz w:val="20"/>
          <w:szCs w:val="20"/>
          <w:lang w:val="en-US"/>
        </w:rPr>
        <w:t xml:space="preserve"> The external magnetic field is either uniform or evanescent. </w:t>
      </w:r>
      <w:r w:rsidR="003D1E06" w:rsidRPr="002530E5">
        <w:rPr>
          <w:rFonts w:asciiTheme="majorBidi" w:hAnsiTheme="majorBidi" w:cstheme="majorBidi"/>
          <w:sz w:val="20"/>
          <w:szCs w:val="20"/>
          <w:lang w:val="en-US"/>
        </w:rPr>
        <w:t>The Darcy-Brinkman-</w:t>
      </w:r>
      <w:proofErr w:type="spellStart"/>
      <w:r w:rsidR="003D1E06" w:rsidRPr="002530E5">
        <w:rPr>
          <w:rFonts w:asciiTheme="majorBidi" w:hAnsiTheme="majorBidi" w:cstheme="majorBidi"/>
          <w:sz w:val="20"/>
          <w:szCs w:val="20"/>
          <w:lang w:val="en-US"/>
        </w:rPr>
        <w:t>Forchheimer</w:t>
      </w:r>
      <w:proofErr w:type="spellEnd"/>
      <w:r w:rsidR="003D1E06" w:rsidRPr="002530E5">
        <w:rPr>
          <w:rFonts w:asciiTheme="majorBidi" w:hAnsiTheme="majorBidi" w:cstheme="majorBidi"/>
          <w:sz w:val="20"/>
          <w:szCs w:val="20"/>
          <w:lang w:val="en-US"/>
        </w:rPr>
        <w:t xml:space="preserve"> </w:t>
      </w:r>
      <w:r w:rsidR="00FA3594">
        <w:rPr>
          <w:rFonts w:asciiTheme="majorBidi" w:hAnsiTheme="majorBidi" w:cstheme="majorBidi"/>
          <w:sz w:val="20"/>
          <w:szCs w:val="20"/>
          <w:lang w:val="en-US"/>
        </w:rPr>
        <w:t>is</w:t>
      </w:r>
      <w:r w:rsidR="003D1E06" w:rsidRPr="002530E5">
        <w:rPr>
          <w:rFonts w:asciiTheme="majorBidi" w:hAnsiTheme="majorBidi" w:cstheme="majorBidi"/>
          <w:sz w:val="20"/>
          <w:szCs w:val="20"/>
          <w:lang w:val="en-US"/>
        </w:rPr>
        <w:t xml:space="preserve"> used to describe the flow in the porous medium</w:t>
      </w:r>
      <w:r w:rsidR="00FA3594">
        <w:rPr>
          <w:rFonts w:asciiTheme="majorBidi" w:hAnsiTheme="majorBidi" w:cstheme="majorBidi"/>
          <w:sz w:val="20"/>
          <w:szCs w:val="20"/>
          <w:lang w:val="en-US"/>
        </w:rPr>
        <w:t xml:space="preserve"> with both one-phase and two-phase approaches for </w:t>
      </w:r>
      <w:proofErr w:type="spellStart"/>
      <w:r w:rsidR="00FA3594">
        <w:rPr>
          <w:rFonts w:asciiTheme="majorBidi" w:hAnsiTheme="majorBidi" w:cstheme="majorBidi"/>
          <w:sz w:val="20"/>
          <w:szCs w:val="20"/>
          <w:lang w:val="en-US"/>
        </w:rPr>
        <w:t>nanofluids</w:t>
      </w:r>
      <w:proofErr w:type="spellEnd"/>
      <w:r w:rsidR="00FA3594">
        <w:rPr>
          <w:rFonts w:asciiTheme="majorBidi" w:hAnsiTheme="majorBidi" w:cstheme="majorBidi"/>
          <w:sz w:val="20"/>
          <w:szCs w:val="20"/>
          <w:lang w:val="en-US"/>
        </w:rPr>
        <w:t xml:space="preserve"> motion. </w:t>
      </w:r>
      <w:r w:rsidR="00A10813">
        <w:rPr>
          <w:rFonts w:asciiTheme="majorBidi" w:hAnsiTheme="majorBidi" w:cstheme="majorBidi"/>
          <w:sz w:val="20"/>
          <w:szCs w:val="20"/>
          <w:lang w:val="en-US"/>
        </w:rPr>
        <w:t xml:space="preserve">The governing equations with the associated boundary conditions are solved by the finite volume method. </w:t>
      </w:r>
      <w:r w:rsidR="000C7C88" w:rsidRPr="002530E5">
        <w:rPr>
          <w:rFonts w:asciiTheme="majorBidi" w:hAnsiTheme="majorBidi" w:cstheme="majorBidi"/>
          <w:sz w:val="20"/>
          <w:szCs w:val="20"/>
          <w:lang w:val="en-US"/>
        </w:rPr>
        <w:t xml:space="preserve">For a uniform magnetic field, the results show on one hand, an improvement of heat transfer by use of a porous medium, a </w:t>
      </w:r>
      <w:proofErr w:type="spellStart"/>
      <w:r w:rsidR="000C7C88" w:rsidRPr="002530E5">
        <w:rPr>
          <w:rFonts w:asciiTheme="majorBidi" w:hAnsiTheme="majorBidi" w:cstheme="majorBidi"/>
          <w:sz w:val="20"/>
          <w:szCs w:val="20"/>
          <w:lang w:val="en-US"/>
        </w:rPr>
        <w:t>nanofluid</w:t>
      </w:r>
      <w:proofErr w:type="spellEnd"/>
      <w:r w:rsidR="000C7C88" w:rsidRPr="002530E5">
        <w:rPr>
          <w:rFonts w:asciiTheme="majorBidi" w:hAnsiTheme="majorBidi" w:cstheme="majorBidi"/>
          <w:sz w:val="20"/>
          <w:szCs w:val="20"/>
          <w:lang w:val="en-US"/>
        </w:rPr>
        <w:t xml:space="preserve"> and without taking into account the Joule </w:t>
      </w:r>
      <w:r w:rsidR="00A10813">
        <w:rPr>
          <w:rFonts w:asciiTheme="majorBidi" w:hAnsiTheme="majorBidi" w:cstheme="majorBidi"/>
          <w:sz w:val="20"/>
          <w:szCs w:val="20"/>
          <w:lang w:val="en-US"/>
        </w:rPr>
        <w:t>heating</w:t>
      </w:r>
      <w:r w:rsidR="000C7C88" w:rsidRPr="002530E5">
        <w:rPr>
          <w:rFonts w:asciiTheme="majorBidi" w:hAnsiTheme="majorBidi" w:cstheme="majorBidi"/>
          <w:sz w:val="20"/>
          <w:szCs w:val="20"/>
          <w:lang w:val="en-US"/>
        </w:rPr>
        <w:t xml:space="preserve">. On the other hand, there is an increase in entropy generation with the study parameters for the most cases considered. The application of an evanescent magnetic field with taking into account the Joule </w:t>
      </w:r>
      <w:r w:rsidR="00A10813" w:rsidRPr="002530E5">
        <w:rPr>
          <w:rFonts w:asciiTheme="majorBidi" w:hAnsiTheme="majorBidi" w:cstheme="majorBidi"/>
          <w:sz w:val="20"/>
          <w:szCs w:val="20"/>
          <w:lang w:val="en-US"/>
        </w:rPr>
        <w:t>heating</w:t>
      </w:r>
      <w:r w:rsidR="000C7C88" w:rsidRPr="002530E5">
        <w:rPr>
          <w:rFonts w:asciiTheme="majorBidi" w:hAnsiTheme="majorBidi" w:cstheme="majorBidi"/>
          <w:sz w:val="20"/>
          <w:szCs w:val="20"/>
          <w:lang w:val="en-US"/>
        </w:rPr>
        <w:t xml:space="preserve"> enhances the cooling of heat sources with values of the global </w:t>
      </w:r>
      <w:proofErr w:type="spellStart"/>
      <w:r w:rsidR="000C7C88" w:rsidRPr="002530E5">
        <w:rPr>
          <w:rFonts w:asciiTheme="majorBidi" w:hAnsiTheme="majorBidi" w:cstheme="majorBidi"/>
          <w:sz w:val="20"/>
          <w:szCs w:val="20"/>
          <w:lang w:val="en-US"/>
        </w:rPr>
        <w:t>Nusselt</w:t>
      </w:r>
      <w:proofErr w:type="spellEnd"/>
      <w:r w:rsidR="000C7C88" w:rsidRPr="002530E5">
        <w:rPr>
          <w:rFonts w:asciiTheme="majorBidi" w:hAnsiTheme="majorBidi" w:cstheme="majorBidi"/>
          <w:sz w:val="20"/>
          <w:szCs w:val="20"/>
          <w:lang w:val="en-US"/>
        </w:rPr>
        <w:t xml:space="preserve"> number </w:t>
      </w:r>
      <w:proofErr w:type="spellStart"/>
      <w:r w:rsidR="000C7C88" w:rsidRPr="002530E5">
        <w:rPr>
          <w:rFonts w:asciiTheme="majorBidi" w:hAnsiTheme="majorBidi" w:cstheme="majorBidi"/>
          <w:sz w:val="20"/>
          <w:szCs w:val="20"/>
          <w:lang w:val="en-US"/>
        </w:rPr>
        <w:t>Nu</w:t>
      </w:r>
      <w:r w:rsidR="000C7C88" w:rsidRPr="002530E5">
        <w:rPr>
          <w:rFonts w:asciiTheme="majorBidi" w:hAnsiTheme="majorBidi" w:cstheme="majorBidi"/>
          <w:sz w:val="20"/>
          <w:szCs w:val="20"/>
          <w:vertAlign w:val="subscript"/>
          <w:lang w:val="en-US"/>
        </w:rPr>
        <w:t>g</w:t>
      </w:r>
      <w:proofErr w:type="spellEnd"/>
      <w:r w:rsidR="000C7C88" w:rsidRPr="002530E5">
        <w:rPr>
          <w:rFonts w:asciiTheme="majorBidi" w:hAnsiTheme="majorBidi" w:cstheme="majorBidi"/>
          <w:sz w:val="20"/>
          <w:szCs w:val="20"/>
          <w:lang w:val="en-US"/>
        </w:rPr>
        <w:t xml:space="preserve">, at the establishment, independent of the relaxation time </w:t>
      </w:r>
      <w:r w:rsidR="000C7C88" w:rsidRPr="002530E5">
        <w:rPr>
          <w:rFonts w:ascii="Symbol" w:hAnsi="Symbol" w:cstheme="majorBidi"/>
          <w:sz w:val="20"/>
          <w:szCs w:val="20"/>
        </w:rPr>
        <w:t></w:t>
      </w:r>
      <w:r w:rsidR="000C7C88" w:rsidRPr="002530E5">
        <w:rPr>
          <w:rFonts w:asciiTheme="majorBidi" w:hAnsiTheme="majorBidi" w:cstheme="majorBidi"/>
          <w:sz w:val="20"/>
          <w:szCs w:val="20"/>
          <w:vertAlign w:val="subscript"/>
          <w:lang w:val="en-US"/>
        </w:rPr>
        <w:t>r</w:t>
      </w:r>
      <w:r w:rsidR="000C7C88" w:rsidRPr="002530E5">
        <w:rPr>
          <w:rFonts w:asciiTheme="majorBidi" w:hAnsiTheme="majorBidi" w:cstheme="majorBidi"/>
          <w:sz w:val="20"/>
          <w:szCs w:val="20"/>
          <w:lang w:val="en-US"/>
        </w:rPr>
        <w:t xml:space="preserve"> and the initial value of Hartmann number Ha</w:t>
      </w:r>
      <w:r w:rsidR="00FA3594" w:rsidRPr="00FA3594">
        <w:rPr>
          <w:rFonts w:asciiTheme="majorBidi" w:hAnsiTheme="majorBidi" w:cstheme="majorBidi"/>
          <w:sz w:val="20"/>
          <w:szCs w:val="20"/>
          <w:vertAlign w:val="subscript"/>
          <w:lang w:val="en-US"/>
        </w:rPr>
        <w:t>0</w:t>
      </w:r>
      <w:r w:rsidR="000C7C88" w:rsidRPr="002530E5">
        <w:rPr>
          <w:rFonts w:asciiTheme="majorBidi" w:hAnsiTheme="majorBidi" w:cstheme="majorBidi"/>
          <w:sz w:val="20"/>
          <w:szCs w:val="20"/>
          <w:lang w:val="en-US"/>
        </w:rPr>
        <w:t xml:space="preserve">. During the transition phase, reducing </w:t>
      </w:r>
      <w:r w:rsidR="000C7C88" w:rsidRPr="002530E5">
        <w:rPr>
          <w:rFonts w:ascii="Symbol" w:hAnsi="Symbol" w:cstheme="majorBidi"/>
          <w:sz w:val="20"/>
          <w:szCs w:val="20"/>
        </w:rPr>
        <w:t></w:t>
      </w:r>
      <w:r w:rsidR="000C7C88" w:rsidRPr="002530E5">
        <w:rPr>
          <w:rFonts w:asciiTheme="majorBidi" w:hAnsiTheme="majorBidi" w:cstheme="majorBidi"/>
          <w:sz w:val="20"/>
          <w:szCs w:val="20"/>
          <w:vertAlign w:val="subscript"/>
          <w:lang w:val="en-US"/>
        </w:rPr>
        <w:t>r</w:t>
      </w:r>
      <w:r w:rsidR="000C7C88" w:rsidRPr="002530E5">
        <w:rPr>
          <w:rFonts w:asciiTheme="majorBidi" w:hAnsiTheme="majorBidi" w:cstheme="majorBidi"/>
          <w:sz w:val="20"/>
          <w:szCs w:val="20"/>
          <w:lang w:val="en-US"/>
        </w:rPr>
        <w:t xml:space="preserve"> and Ha</w:t>
      </w:r>
      <w:r w:rsidR="00FA3594" w:rsidRPr="00FA3594">
        <w:rPr>
          <w:rFonts w:asciiTheme="majorBidi" w:hAnsiTheme="majorBidi" w:cstheme="majorBidi"/>
          <w:sz w:val="20"/>
          <w:szCs w:val="20"/>
          <w:vertAlign w:val="subscript"/>
          <w:lang w:val="en-US"/>
        </w:rPr>
        <w:t>0</w:t>
      </w:r>
      <w:r w:rsidR="00FA3594">
        <w:rPr>
          <w:rFonts w:asciiTheme="majorBidi" w:hAnsiTheme="majorBidi" w:cstheme="majorBidi"/>
          <w:sz w:val="20"/>
          <w:szCs w:val="20"/>
          <w:lang w:val="en-US"/>
        </w:rPr>
        <w:t xml:space="preserve"> leads to higher values of </w:t>
      </w:r>
      <w:proofErr w:type="spellStart"/>
      <w:r w:rsidR="000C7C88" w:rsidRPr="002530E5">
        <w:rPr>
          <w:rFonts w:asciiTheme="majorBidi" w:hAnsiTheme="majorBidi" w:cstheme="majorBidi"/>
          <w:sz w:val="20"/>
          <w:szCs w:val="20"/>
          <w:lang w:val="en-US"/>
        </w:rPr>
        <w:t>Nu</w:t>
      </w:r>
      <w:r w:rsidR="000C7C88" w:rsidRPr="002530E5">
        <w:rPr>
          <w:rFonts w:asciiTheme="majorBidi" w:hAnsiTheme="majorBidi" w:cstheme="majorBidi"/>
          <w:sz w:val="20"/>
          <w:szCs w:val="20"/>
          <w:vertAlign w:val="subscript"/>
          <w:lang w:val="en-US"/>
        </w:rPr>
        <w:t>g</w:t>
      </w:r>
      <w:proofErr w:type="spellEnd"/>
      <w:r w:rsidR="000C7C88" w:rsidRPr="002530E5">
        <w:rPr>
          <w:rFonts w:asciiTheme="majorBidi" w:hAnsiTheme="majorBidi" w:cstheme="majorBidi"/>
          <w:sz w:val="20"/>
          <w:szCs w:val="20"/>
          <w:lang w:val="en-US"/>
        </w:rPr>
        <w:t xml:space="preserve">. By applying the two-phase approach, </w:t>
      </w:r>
      <w:r w:rsidR="00FA3594">
        <w:rPr>
          <w:rFonts w:asciiTheme="majorBidi" w:hAnsiTheme="majorBidi" w:cstheme="majorBidi"/>
          <w:sz w:val="20"/>
          <w:szCs w:val="20"/>
          <w:lang w:val="en-US"/>
        </w:rPr>
        <w:t xml:space="preserve">taking into account the </w:t>
      </w:r>
      <w:r w:rsidR="000C7C88" w:rsidRPr="002530E5">
        <w:rPr>
          <w:rFonts w:asciiTheme="majorBidi" w:hAnsiTheme="majorBidi" w:cstheme="majorBidi"/>
          <w:sz w:val="20"/>
          <w:szCs w:val="20"/>
          <w:lang w:val="en-US"/>
        </w:rPr>
        <w:t xml:space="preserve">Brownian motion and </w:t>
      </w:r>
      <w:r w:rsidR="00FA3594">
        <w:rPr>
          <w:rFonts w:asciiTheme="majorBidi" w:hAnsiTheme="majorBidi" w:cstheme="majorBidi"/>
          <w:sz w:val="20"/>
          <w:szCs w:val="20"/>
          <w:lang w:val="en-US"/>
        </w:rPr>
        <w:t xml:space="preserve">the </w:t>
      </w:r>
      <w:proofErr w:type="spellStart"/>
      <w:r w:rsidR="000C7C88" w:rsidRPr="002530E5">
        <w:rPr>
          <w:rFonts w:asciiTheme="majorBidi" w:hAnsiTheme="majorBidi" w:cstheme="majorBidi"/>
          <w:sz w:val="20"/>
          <w:szCs w:val="20"/>
          <w:lang w:val="en-US"/>
        </w:rPr>
        <w:t>thermophoresis</w:t>
      </w:r>
      <w:proofErr w:type="spellEnd"/>
      <w:r w:rsidR="000C7C88" w:rsidRPr="002530E5">
        <w:rPr>
          <w:rFonts w:asciiTheme="majorBidi" w:hAnsiTheme="majorBidi" w:cstheme="majorBidi"/>
          <w:sz w:val="20"/>
          <w:szCs w:val="20"/>
          <w:lang w:val="en-US"/>
        </w:rPr>
        <w:t xml:space="preserve"> </w:t>
      </w:r>
      <w:r w:rsidR="00FA3594">
        <w:rPr>
          <w:rFonts w:asciiTheme="majorBidi" w:hAnsiTheme="majorBidi" w:cstheme="majorBidi"/>
          <w:sz w:val="20"/>
          <w:szCs w:val="20"/>
          <w:lang w:val="en-US"/>
        </w:rPr>
        <w:t xml:space="preserve">effect </w:t>
      </w:r>
      <w:r w:rsidR="00590D3B" w:rsidRPr="002530E5">
        <w:rPr>
          <w:rFonts w:asciiTheme="majorBidi" w:hAnsiTheme="majorBidi" w:cstheme="majorBidi"/>
          <w:sz w:val="20"/>
          <w:szCs w:val="20"/>
          <w:lang w:val="en-US"/>
        </w:rPr>
        <w:t xml:space="preserve">influences </w:t>
      </w:r>
      <w:r w:rsidR="007B1320" w:rsidRPr="002530E5">
        <w:rPr>
          <w:rFonts w:asciiTheme="majorBidi" w:hAnsiTheme="majorBidi" w:cstheme="majorBidi"/>
          <w:sz w:val="20"/>
          <w:szCs w:val="20"/>
          <w:lang w:val="en-US"/>
        </w:rPr>
        <w:t xml:space="preserve">much </w:t>
      </w:r>
      <w:r w:rsidR="007B1320">
        <w:rPr>
          <w:rFonts w:asciiTheme="majorBidi" w:hAnsiTheme="majorBidi" w:cstheme="majorBidi"/>
          <w:sz w:val="20"/>
          <w:szCs w:val="20"/>
          <w:lang w:val="en-US"/>
        </w:rPr>
        <w:t xml:space="preserve">more </w:t>
      </w:r>
      <w:r w:rsidR="00590D3B" w:rsidRPr="002530E5">
        <w:rPr>
          <w:rFonts w:asciiTheme="majorBidi" w:hAnsiTheme="majorBidi" w:cstheme="majorBidi"/>
          <w:sz w:val="20"/>
          <w:szCs w:val="20"/>
          <w:lang w:val="en-US"/>
        </w:rPr>
        <w:t xml:space="preserve">the spatial distribution of the </w:t>
      </w:r>
      <w:proofErr w:type="spellStart"/>
      <w:r w:rsidR="007B1320">
        <w:rPr>
          <w:rFonts w:asciiTheme="majorBidi" w:hAnsiTheme="majorBidi" w:cstheme="majorBidi"/>
          <w:sz w:val="20"/>
          <w:szCs w:val="20"/>
          <w:lang w:val="en-US"/>
        </w:rPr>
        <w:t>nanoparticles</w:t>
      </w:r>
      <w:proofErr w:type="spellEnd"/>
      <w:r w:rsidR="007B1320">
        <w:rPr>
          <w:rFonts w:asciiTheme="majorBidi" w:hAnsiTheme="majorBidi" w:cstheme="majorBidi"/>
          <w:sz w:val="20"/>
          <w:szCs w:val="20"/>
          <w:lang w:val="en-US"/>
        </w:rPr>
        <w:t xml:space="preserve"> </w:t>
      </w:r>
      <w:r w:rsidR="00590D3B" w:rsidRPr="002530E5">
        <w:rPr>
          <w:rFonts w:asciiTheme="majorBidi" w:hAnsiTheme="majorBidi" w:cstheme="majorBidi"/>
          <w:sz w:val="20"/>
          <w:szCs w:val="20"/>
          <w:lang w:val="en-US"/>
        </w:rPr>
        <w:t xml:space="preserve">volume fraction </w:t>
      </w:r>
      <w:r w:rsidR="008D3847" w:rsidRPr="002530E5">
        <w:rPr>
          <w:rFonts w:asciiTheme="majorBidi" w:hAnsiTheme="majorBidi" w:cstheme="majorBidi"/>
          <w:sz w:val="20"/>
          <w:szCs w:val="20"/>
          <w:lang w:val="en-US"/>
        </w:rPr>
        <w:t>than</w:t>
      </w:r>
      <w:r w:rsidR="007B1320">
        <w:rPr>
          <w:rFonts w:asciiTheme="majorBidi" w:hAnsiTheme="majorBidi" w:cstheme="majorBidi"/>
          <w:sz w:val="20"/>
          <w:szCs w:val="20"/>
          <w:lang w:val="en-US"/>
        </w:rPr>
        <w:t xml:space="preserve"> </w:t>
      </w:r>
      <w:r w:rsidR="00590D3B" w:rsidRPr="002530E5">
        <w:rPr>
          <w:rFonts w:asciiTheme="majorBidi" w:hAnsiTheme="majorBidi" w:cstheme="majorBidi"/>
          <w:sz w:val="20"/>
          <w:szCs w:val="20"/>
          <w:lang w:val="en-US"/>
        </w:rPr>
        <w:t>the overall transfers.</w:t>
      </w:r>
      <w:r w:rsidR="007B1320">
        <w:rPr>
          <w:rFonts w:asciiTheme="majorBidi" w:hAnsiTheme="majorBidi" w:cstheme="majorBidi"/>
          <w:sz w:val="20"/>
          <w:szCs w:val="20"/>
          <w:lang w:val="en-US"/>
        </w:rPr>
        <w:t xml:space="preserve"> </w:t>
      </w:r>
      <w:r w:rsidR="003231BC" w:rsidRPr="002530E5">
        <w:rPr>
          <w:rFonts w:asciiTheme="majorBidi" w:hAnsiTheme="majorBidi" w:cstheme="majorBidi"/>
          <w:sz w:val="20"/>
          <w:szCs w:val="20"/>
          <w:lang w:val="en-US"/>
        </w:rPr>
        <w:t xml:space="preserve">A highly non-uniform distribution of the </w:t>
      </w:r>
      <w:proofErr w:type="spellStart"/>
      <w:r w:rsidR="003231BC" w:rsidRPr="002530E5">
        <w:rPr>
          <w:rFonts w:asciiTheme="majorBidi" w:hAnsiTheme="majorBidi" w:cstheme="majorBidi"/>
          <w:sz w:val="20"/>
          <w:szCs w:val="20"/>
          <w:lang w:val="en-US"/>
        </w:rPr>
        <w:t>nanoparticles</w:t>
      </w:r>
      <w:proofErr w:type="spellEnd"/>
      <w:r w:rsidR="003231BC" w:rsidRPr="002530E5">
        <w:rPr>
          <w:rFonts w:asciiTheme="majorBidi" w:hAnsiTheme="majorBidi" w:cstheme="majorBidi"/>
          <w:sz w:val="20"/>
          <w:szCs w:val="20"/>
          <w:lang w:val="en-US"/>
        </w:rPr>
        <w:t xml:space="preserve"> is obtained at low values ​​of the Brownian motion parameter, at high values of ​​</w:t>
      </w:r>
      <w:proofErr w:type="spellStart"/>
      <w:r w:rsidR="00E448AE" w:rsidRPr="002530E5">
        <w:rPr>
          <w:rFonts w:asciiTheme="majorBidi" w:hAnsiTheme="majorBidi" w:cstheme="majorBidi"/>
          <w:sz w:val="20"/>
          <w:szCs w:val="20"/>
          <w:lang w:val="en-US"/>
        </w:rPr>
        <w:t>theromphorès</w:t>
      </w:r>
      <w:proofErr w:type="spellEnd"/>
      <w:r w:rsidR="003231BC" w:rsidRPr="002530E5">
        <w:rPr>
          <w:rFonts w:asciiTheme="majorBidi" w:hAnsiTheme="majorBidi" w:cstheme="majorBidi"/>
          <w:sz w:val="20"/>
          <w:szCs w:val="20"/>
          <w:lang w:val="en-US"/>
        </w:rPr>
        <w:t xml:space="preserve"> parameter and at strong magnetic field intensities.</w:t>
      </w:r>
    </w:p>
    <w:p w:rsidR="00C228BD" w:rsidRPr="002530E5" w:rsidRDefault="00C228BD" w:rsidP="00A10813">
      <w:pPr>
        <w:autoSpaceDE w:val="0"/>
        <w:autoSpaceDN w:val="0"/>
        <w:adjustRightInd w:val="0"/>
        <w:spacing w:after="120" w:line="360" w:lineRule="auto"/>
        <w:jc w:val="both"/>
        <w:rPr>
          <w:rFonts w:asciiTheme="majorBidi" w:hAnsiTheme="majorBidi" w:cstheme="majorBidi"/>
          <w:sz w:val="20"/>
          <w:szCs w:val="20"/>
          <w:lang w:val="en-US"/>
        </w:rPr>
      </w:pPr>
      <w:r w:rsidRPr="002530E5">
        <w:rPr>
          <w:rFonts w:asciiTheme="majorBidi" w:hAnsiTheme="majorBidi" w:cstheme="majorBidi"/>
          <w:i/>
          <w:iCs/>
          <w:color w:val="000000" w:themeColor="text1"/>
          <w:sz w:val="20"/>
          <w:szCs w:val="20"/>
          <w:lang w:val="en-US"/>
        </w:rPr>
        <w:t>Keywords: MHD mixed convection; Porous channel</w:t>
      </w:r>
      <w:r w:rsidRPr="002530E5">
        <w:rPr>
          <w:rFonts w:asciiTheme="majorBidi" w:hAnsiTheme="majorBidi" w:cstheme="majorBidi"/>
          <w:i/>
          <w:iCs/>
          <w:color w:val="000000" w:themeColor="text1"/>
          <w:sz w:val="20"/>
          <w:szCs w:val="20"/>
          <w:lang w:val="en-GB"/>
        </w:rPr>
        <w:t xml:space="preserve">; </w:t>
      </w:r>
      <w:proofErr w:type="spellStart"/>
      <w:r w:rsidRPr="002530E5">
        <w:rPr>
          <w:rFonts w:asciiTheme="majorBidi" w:hAnsiTheme="majorBidi" w:cstheme="majorBidi"/>
          <w:i/>
          <w:iCs/>
          <w:color w:val="000000" w:themeColor="text1"/>
          <w:sz w:val="20"/>
          <w:szCs w:val="20"/>
          <w:lang w:val="en-US"/>
        </w:rPr>
        <w:t>Nanofluid</w:t>
      </w:r>
      <w:proofErr w:type="spellEnd"/>
      <w:r w:rsidR="007B1320">
        <w:rPr>
          <w:rFonts w:asciiTheme="majorBidi" w:hAnsiTheme="majorBidi" w:cstheme="majorBidi"/>
          <w:i/>
          <w:iCs/>
          <w:color w:val="000000" w:themeColor="text1"/>
          <w:sz w:val="20"/>
          <w:szCs w:val="20"/>
          <w:lang w:val="en-US"/>
        </w:rPr>
        <w:t xml:space="preserve">; Brownian motion; </w:t>
      </w:r>
      <w:proofErr w:type="spellStart"/>
      <w:r w:rsidR="007B1320">
        <w:rPr>
          <w:rFonts w:asciiTheme="majorBidi" w:hAnsiTheme="majorBidi" w:cstheme="majorBidi"/>
          <w:i/>
          <w:iCs/>
          <w:color w:val="000000" w:themeColor="text1"/>
          <w:sz w:val="20"/>
          <w:szCs w:val="20"/>
          <w:lang w:val="en-US"/>
        </w:rPr>
        <w:t>Thermophoresis</w:t>
      </w:r>
      <w:proofErr w:type="spellEnd"/>
      <w:r w:rsidR="007B1320">
        <w:rPr>
          <w:rFonts w:asciiTheme="majorBidi" w:hAnsiTheme="majorBidi" w:cstheme="majorBidi"/>
          <w:i/>
          <w:iCs/>
          <w:color w:val="000000" w:themeColor="text1"/>
          <w:sz w:val="20"/>
          <w:szCs w:val="20"/>
          <w:lang w:val="en-US"/>
        </w:rPr>
        <w:t xml:space="preserve"> effect</w:t>
      </w:r>
    </w:p>
    <w:sectPr w:rsidR="00C228BD" w:rsidRPr="002530E5" w:rsidSect="00FF616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rsids>
    <w:rsidRoot w:val="003910DD"/>
    <w:rsid w:val="0003076B"/>
    <w:rsid w:val="000C7C88"/>
    <w:rsid w:val="00134FEE"/>
    <w:rsid w:val="001A3E5F"/>
    <w:rsid w:val="002014C7"/>
    <w:rsid w:val="002530E5"/>
    <w:rsid w:val="00272710"/>
    <w:rsid w:val="002E5D3A"/>
    <w:rsid w:val="00322558"/>
    <w:rsid w:val="003231BC"/>
    <w:rsid w:val="003512E3"/>
    <w:rsid w:val="003910DD"/>
    <w:rsid w:val="0039676D"/>
    <w:rsid w:val="003D1E06"/>
    <w:rsid w:val="004014B5"/>
    <w:rsid w:val="004646B1"/>
    <w:rsid w:val="00465310"/>
    <w:rsid w:val="005375A8"/>
    <w:rsid w:val="00590D3B"/>
    <w:rsid w:val="005C502F"/>
    <w:rsid w:val="0065087A"/>
    <w:rsid w:val="00671891"/>
    <w:rsid w:val="00680ECB"/>
    <w:rsid w:val="006922F6"/>
    <w:rsid w:val="007552E3"/>
    <w:rsid w:val="007B1320"/>
    <w:rsid w:val="008008C5"/>
    <w:rsid w:val="00834B44"/>
    <w:rsid w:val="008D3847"/>
    <w:rsid w:val="008E26FA"/>
    <w:rsid w:val="00917C05"/>
    <w:rsid w:val="00943F6A"/>
    <w:rsid w:val="00A10813"/>
    <w:rsid w:val="00A14B6E"/>
    <w:rsid w:val="00A632B9"/>
    <w:rsid w:val="00B03CFB"/>
    <w:rsid w:val="00B12B36"/>
    <w:rsid w:val="00B969B3"/>
    <w:rsid w:val="00C228BD"/>
    <w:rsid w:val="00C752E5"/>
    <w:rsid w:val="00C766CF"/>
    <w:rsid w:val="00C9795F"/>
    <w:rsid w:val="00CA5DF6"/>
    <w:rsid w:val="00CF5804"/>
    <w:rsid w:val="00D44C7C"/>
    <w:rsid w:val="00DD1B4C"/>
    <w:rsid w:val="00E2782B"/>
    <w:rsid w:val="00E27ED5"/>
    <w:rsid w:val="00E448AE"/>
    <w:rsid w:val="00E5341D"/>
    <w:rsid w:val="00EA0D73"/>
    <w:rsid w:val="00EC41BB"/>
    <w:rsid w:val="00EE668A"/>
    <w:rsid w:val="00FA3594"/>
    <w:rsid w:val="00FF616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616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1</Pages>
  <Words>542</Words>
  <Characters>2987</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3522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Ibrahim</dc:creator>
  <cp:keywords/>
  <dc:description/>
  <cp:lastModifiedBy>LTPMP</cp:lastModifiedBy>
  <cp:revision>4</cp:revision>
  <dcterms:created xsi:type="dcterms:W3CDTF">2016-02-09T08:37:00Z</dcterms:created>
  <dcterms:modified xsi:type="dcterms:W3CDTF">2016-02-10T19:58:00Z</dcterms:modified>
</cp:coreProperties>
</file>