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200A" w:rsidRPr="00E9200A" w:rsidRDefault="00E9200A" w:rsidP="00E9200A">
      <w:pPr>
        <w:bidi w:val="0"/>
        <w:rPr>
          <w:lang w:val="fr-FR" w:bidi="ar-DZ"/>
        </w:rPr>
      </w:pPr>
      <w:r w:rsidRPr="00E9200A">
        <w:rPr>
          <w:lang w:val="fr-FR" w:bidi="ar-DZ"/>
        </w:rPr>
        <w:t>La réaction de conversion du gaz à l'eau (Water Gas Shift Reaction) a été longtemps étudiée comme processus conduisant à la formation d'hydrogène pur et pouvant alimenter par exemple les piles à combustibles. Cette réaction permet aussi de minimiser la concentration de CO dans le gaz de synthèse, obtenu lors du reformage du méthane. Elle se fait, habituellement, en présence de deux systèmes catalytiques:</w:t>
      </w:r>
    </w:p>
    <w:p w:rsidR="00E9200A" w:rsidRPr="00E9200A" w:rsidRDefault="00E9200A" w:rsidP="00E9200A">
      <w:pPr>
        <w:bidi w:val="0"/>
        <w:rPr>
          <w:lang w:val="fr-FR" w:bidi="ar-DZ"/>
        </w:rPr>
      </w:pPr>
      <w:r w:rsidRPr="00E9200A">
        <w:rPr>
          <w:lang w:val="fr-FR" w:bidi="ar-DZ"/>
        </w:rPr>
        <w:t>base de fer et aux hautes températures 350- 450°C (Catalyseurs hautes températures HTWGSR).</w:t>
      </w:r>
    </w:p>
    <w:p w:rsidR="00E9200A" w:rsidRPr="00E9200A" w:rsidRDefault="00E9200A" w:rsidP="00E9200A">
      <w:pPr>
        <w:bidi w:val="0"/>
        <w:rPr>
          <w:lang w:val="fr-FR" w:bidi="ar-DZ"/>
        </w:rPr>
      </w:pPr>
      <w:r w:rsidRPr="00E9200A">
        <w:rPr>
          <w:lang w:val="fr-FR" w:bidi="ar-DZ"/>
        </w:rPr>
        <w:t>base de cuivre et aux basses températures 150- 250°C (Catalyseurs basses températures LTWGSR).</w:t>
      </w:r>
    </w:p>
    <w:p w:rsidR="00E9200A" w:rsidRPr="00E9200A" w:rsidRDefault="00E9200A" w:rsidP="00E9200A">
      <w:pPr>
        <w:bidi w:val="0"/>
        <w:rPr>
          <w:lang w:val="fr-FR" w:bidi="ar-DZ"/>
        </w:rPr>
      </w:pPr>
      <w:r w:rsidRPr="00E9200A">
        <w:rPr>
          <w:lang w:val="fr-FR" w:bidi="ar-DZ"/>
        </w:rPr>
        <w:t>Dans ce travail, nous avons choisi d'étudier des systèmes à base de fer. Pour cela, les solides utilisés sont de structure bien définie de type Hydroxydes Doubles Lamellaires (HDLs).</w:t>
      </w:r>
    </w:p>
    <w:p w:rsidR="00E9200A" w:rsidRPr="00E9200A" w:rsidRDefault="00E9200A" w:rsidP="00E9200A">
      <w:pPr>
        <w:bidi w:val="0"/>
        <w:rPr>
          <w:lang w:val="fr-FR" w:bidi="ar-DZ"/>
        </w:rPr>
      </w:pPr>
      <w:r w:rsidRPr="00E9200A">
        <w:rPr>
          <w:lang w:val="fr-FR" w:bidi="ar-DZ"/>
        </w:rPr>
        <w:t>La méthode de co-précipitation  a été choisie pour  préparer les solides  Mg-Fe HDL (avec R = Mg2+/Fe3+ = 2, 3 et 5), Cu-Fe HDL, Cu2+/Fe3+ = 2 et Fe-Mg-Al (avec M (2+) / M (3+) = 2 et Mg2+/Al3+ = 3) et la méthode d'imprégnation pour le solide Fe/Mg-Al. Ces solides ont été, ensuite, calcinés à 300°C, caractérisés par diffraction des Rayons X, analyse chimique des éléments, TG/ATD, FT-IR et BET et testés en réaction CO + H2O entre 150- 450°C en utilisant un rapport H2O/CO = 4,4.</w:t>
      </w:r>
    </w:p>
    <w:p w:rsidR="00E9200A" w:rsidRPr="00E9200A" w:rsidRDefault="00E9200A" w:rsidP="00E9200A">
      <w:pPr>
        <w:bidi w:val="0"/>
        <w:rPr>
          <w:lang w:val="fr-FR" w:bidi="ar-DZ"/>
        </w:rPr>
      </w:pPr>
      <w:r w:rsidRPr="00E9200A">
        <w:rPr>
          <w:lang w:val="fr-FR" w:bidi="ar-DZ"/>
        </w:rPr>
        <w:t>"La diffraction des rayons X des catalyseurs non calcinés confirme la structure caractéristique de l'hydrotalcite. En revanche, après calcination des échantillons à 300°C, les spectres DRX révèlent la formation d'oxydes métalliques et la disparition de la phase hydrotalcite.</w:t>
      </w:r>
    </w:p>
    <w:p w:rsidR="00E9200A" w:rsidRPr="00E9200A" w:rsidRDefault="00E9200A" w:rsidP="00E9200A">
      <w:pPr>
        <w:bidi w:val="0"/>
        <w:rPr>
          <w:lang w:val="fr-FR" w:bidi="ar-DZ"/>
        </w:rPr>
      </w:pPr>
      <w:r w:rsidRPr="00E9200A">
        <w:rPr>
          <w:lang w:val="fr-FR" w:bidi="ar-DZ"/>
        </w:rPr>
        <w:t>"La distribution des rayons des pores confirme que ces solides sont des matériaux mésoporeux (méthode BET). En règle générale, la surface BET du catalyseur Fe/Mg-Al imprégné est inférieure à celle du catalyseur homologue co-précipité.</w:t>
      </w:r>
    </w:p>
    <w:p w:rsidR="00E9200A" w:rsidRPr="00E9200A" w:rsidRDefault="00E9200A" w:rsidP="00E9200A">
      <w:pPr>
        <w:bidi w:val="0"/>
        <w:rPr>
          <w:lang w:val="fr-FR" w:bidi="ar-DZ"/>
        </w:rPr>
      </w:pPr>
      <w:r w:rsidRPr="00E9200A">
        <w:rPr>
          <w:lang w:val="fr-FR" w:bidi="ar-DZ"/>
        </w:rPr>
        <w:t>"L'analyse élémentaire (absorption atomique), nous a permis de prouver que le rapport molaire M (2+)/M (3+) est proche de la valeur fixée, initialement, lors de l'élaboration des systèmes catalytiques.</w:t>
      </w:r>
    </w:p>
    <w:p w:rsidR="00E9200A" w:rsidRPr="00E9200A" w:rsidRDefault="00E9200A" w:rsidP="00E9200A">
      <w:pPr>
        <w:bidi w:val="0"/>
        <w:rPr>
          <w:lang w:val="fr-FR" w:bidi="ar-DZ"/>
        </w:rPr>
      </w:pPr>
      <w:r w:rsidRPr="00E9200A">
        <w:rPr>
          <w:lang w:val="fr-FR" w:bidi="ar-DZ"/>
        </w:rPr>
        <w:t>"L'analyse par spectroscopie infrarouge nous a permis, par ailleurs, de mettre en évidence les bandes caractéristiques de l'hydrotalcite.</w:t>
      </w:r>
    </w:p>
    <w:p w:rsidR="00E9200A" w:rsidRPr="00E9200A" w:rsidRDefault="00E9200A" w:rsidP="00E9200A">
      <w:pPr>
        <w:bidi w:val="0"/>
        <w:rPr>
          <w:lang w:val="fr-FR" w:bidi="ar-DZ"/>
        </w:rPr>
      </w:pPr>
      <w:r w:rsidRPr="00E9200A">
        <w:rPr>
          <w:lang w:val="fr-FR" w:bidi="ar-DZ"/>
        </w:rPr>
        <w:t xml:space="preserve">"L'analyse TG/ATD, effectuée sur les catalyseurs HDLs non calcinés, montre que la décomposition de nos solides, est caractérisée par deux transitions: la première à basse température correspond à la perte d'eau d'hydratation et au début de la déshydroxylation sans perte de la structure. La deuxième perte de masse correspond à la déshydroxylation totale du système étudié et à la décomposition des carbonates en CO2. </w:t>
      </w:r>
    </w:p>
    <w:p w:rsidR="00E9200A" w:rsidRPr="00E9200A" w:rsidRDefault="00E9200A" w:rsidP="00E9200A">
      <w:pPr>
        <w:bidi w:val="0"/>
        <w:rPr>
          <w:lang w:val="fr-FR" w:bidi="ar-DZ"/>
        </w:rPr>
      </w:pPr>
      <w:r w:rsidRPr="00E9200A">
        <w:rPr>
          <w:lang w:val="fr-FR" w:bidi="ar-DZ"/>
        </w:rPr>
        <w:t xml:space="preserve">"L'ensemble des catalyseurs de type hydrotalcite double lamellaire testés en réaction de conversion de CO en CO2 sont actifs dès les premières minutes de mise en contact avec le mélange réactionnel. . Les meilleures conversions sont obtenues aux températures avoisinant les 450°C sur des catalyseurs prétraités et pour des rapports molaires élevés. </w:t>
      </w:r>
    </w:p>
    <w:p w:rsidR="00B94F2C" w:rsidRPr="00E9200A" w:rsidRDefault="00B94F2C" w:rsidP="00E9200A">
      <w:pPr>
        <w:bidi w:val="0"/>
        <w:rPr>
          <w:rFonts w:hint="cs"/>
          <w:lang w:val="fr-FR" w:bidi="ar-DZ"/>
        </w:rPr>
      </w:pPr>
    </w:p>
    <w:sectPr w:rsidR="00B94F2C" w:rsidRPr="00E9200A"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9200A"/>
    <w:rsid w:val="005F47AF"/>
    <w:rsid w:val="00B94F2C"/>
    <w:rsid w:val="00E9200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4F2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430</Words>
  <Characters>2451</Characters>
  <Application>Microsoft Office Word</Application>
  <DocSecurity>0</DocSecurity>
  <Lines>20</Lines>
  <Paragraphs>5</Paragraphs>
  <ScaleCrop>false</ScaleCrop>
  <Company/>
  <LinksUpToDate>false</LinksUpToDate>
  <CharactersWithSpaces>2876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2015-06-09T13:09:00Z</dcterms:created>
  <dcterms:modified xsi:type="dcterms:W3CDTF">2015-06-09T13:09:00Z</dcterms:modified>
</cp:coreProperties>
</file>