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532" w:rsidRDefault="00565532" w:rsidP="00565532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CF1670" w:rsidRDefault="00CF1670" w:rsidP="00565532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CF1670" w:rsidRDefault="00CF1670" w:rsidP="00565532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CF1670" w:rsidRDefault="00CF1670" w:rsidP="00565532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565532" w:rsidRPr="00565532" w:rsidRDefault="00565532" w:rsidP="00565532">
      <w:pPr>
        <w:jc w:val="center"/>
        <w:rPr>
          <w:rFonts w:asciiTheme="majorBidi" w:hAnsiTheme="majorBidi" w:cstheme="majorBidi"/>
          <w:i/>
          <w:iCs/>
          <w:sz w:val="28"/>
          <w:szCs w:val="28"/>
        </w:rPr>
      </w:pPr>
      <w:r w:rsidRPr="00F12572">
        <w:rPr>
          <w:rFonts w:asciiTheme="majorBidi" w:hAnsiTheme="majorBidi" w:cstheme="majorBidi"/>
          <w:b/>
          <w:bCs/>
          <w:i/>
          <w:iCs/>
          <w:sz w:val="32"/>
          <w:szCs w:val="32"/>
        </w:rPr>
        <w:t>Résumé</w:t>
      </w:r>
    </w:p>
    <w:p w:rsidR="00565532" w:rsidRDefault="00565532" w:rsidP="00565532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Dans le but de rechercher de nouveaux composés biologiquement actifs, deux espèces appartenant à la famille des Apiaceae : </w:t>
      </w:r>
      <w:r w:rsidRPr="00C103CD">
        <w:rPr>
          <w:rFonts w:asciiTheme="majorBidi" w:hAnsiTheme="majorBidi" w:cstheme="majorBidi"/>
          <w:b/>
          <w:bCs/>
          <w:i/>
          <w:iCs/>
          <w:sz w:val="24"/>
          <w:szCs w:val="24"/>
        </w:rPr>
        <w:t>Anethum graveolens </w:t>
      </w:r>
      <w:r>
        <w:rPr>
          <w:rFonts w:asciiTheme="majorBidi" w:hAnsiTheme="majorBidi" w:cstheme="majorBidi"/>
          <w:b/>
          <w:bCs/>
          <w:sz w:val="24"/>
          <w:szCs w:val="24"/>
        </w:rPr>
        <w:t>L</w:t>
      </w:r>
      <w:r w:rsidR="005061BB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426E50">
        <w:rPr>
          <w:rFonts w:asciiTheme="majorBidi" w:hAnsiTheme="majorBidi" w:cstheme="majorBidi"/>
          <w:sz w:val="24"/>
          <w:szCs w:val="24"/>
        </w:rPr>
        <w:t>et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Pituranthos scoparius</w:t>
      </w:r>
      <w:r w:rsidR="005061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103CD">
        <w:rPr>
          <w:rFonts w:ascii="Times New Roman" w:hAnsi="Times New Roman" w:cs="Times New Roman"/>
          <w:sz w:val="24"/>
          <w:szCs w:val="24"/>
        </w:rPr>
        <w:t>nt été</w:t>
      </w:r>
      <w:r>
        <w:rPr>
          <w:rFonts w:asciiTheme="majorBidi" w:hAnsiTheme="majorBidi" w:cstheme="majorBidi"/>
          <w:sz w:val="24"/>
          <w:szCs w:val="24"/>
        </w:rPr>
        <w:t xml:space="preserve"> étudiées pour un criblage chimique et biologique. L’identification chromatographique (CLHP) mené</w:t>
      </w:r>
      <w:r w:rsidRPr="008C0AB8">
        <w:rPr>
          <w:rFonts w:asciiTheme="majorBidi" w:hAnsiTheme="majorBidi" w:cstheme="majorBidi"/>
          <w:color w:val="000000" w:themeColor="text1"/>
          <w:sz w:val="24"/>
          <w:szCs w:val="24"/>
        </w:rPr>
        <w:t>e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sur les extraits bruts des deux espèces étudiées a permis de caractériser les principaux composés phénoliques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Une caractérisation chimique des huiles essentielles par CPG et CPG/SM a montré la présence de deux chémotyp</w:t>
      </w:r>
      <w:r w:rsidRPr="001C3340">
        <w:rPr>
          <w:rFonts w:asciiTheme="majorBidi" w:hAnsiTheme="majorBidi" w:cstheme="majorBidi"/>
          <w:sz w:val="24"/>
          <w:szCs w:val="24"/>
        </w:rPr>
        <w:t>es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A. </w:t>
      </w:r>
      <w:r w:rsidRPr="006977B7">
        <w:rPr>
          <w:rFonts w:asciiTheme="majorBidi" w:hAnsiTheme="majorBidi" w:cstheme="majorBidi"/>
          <w:i/>
          <w:iCs/>
          <w:sz w:val="24"/>
          <w:szCs w:val="24"/>
        </w:rPr>
        <w:t>graveolens</w:t>
      </w:r>
      <w:r>
        <w:rPr>
          <w:rFonts w:asciiTheme="majorBidi" w:hAnsiTheme="majorBidi" w:cstheme="majorBidi"/>
          <w:i/>
          <w:iCs/>
          <w:sz w:val="24"/>
          <w:szCs w:val="24"/>
        </w:rPr>
        <w:t> </w:t>
      </w:r>
      <w:r w:rsidRPr="00090E26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dillapiol), (</w:t>
      </w:r>
      <w:r w:rsidRPr="006977B7">
        <w:rPr>
          <w:rFonts w:asciiTheme="majorBidi" w:hAnsiTheme="majorBidi" w:cstheme="majorBidi"/>
          <w:i/>
          <w:iCs/>
          <w:sz w:val="24"/>
          <w:szCs w:val="24"/>
        </w:rPr>
        <w:t>P.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6977B7">
        <w:rPr>
          <w:rFonts w:asciiTheme="majorBidi" w:hAnsiTheme="majorBidi" w:cstheme="majorBidi"/>
          <w:i/>
          <w:iCs/>
          <w:sz w:val="24"/>
          <w:szCs w:val="24"/>
        </w:rPr>
        <w:t>scoparius</w:t>
      </w:r>
      <w:r>
        <w:rPr>
          <w:rFonts w:asciiTheme="majorBidi" w:hAnsiTheme="majorBidi" w:cstheme="majorBidi"/>
          <w:i/>
          <w:iCs/>
          <w:sz w:val="24"/>
          <w:szCs w:val="24"/>
        </w:rPr>
        <w:t> </w:t>
      </w:r>
      <w:r w:rsidRPr="00090E26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limonène). Concernant l’évaluation des activités biologiques, les résultats du pouvoir antioxydant, antimicrobien et anti-inflammatoire déterminé diffèrent d’un extrait à l’autre. </w:t>
      </w:r>
    </w:p>
    <w:p w:rsidR="00565532" w:rsidRPr="00F41B7F" w:rsidRDefault="00565532" w:rsidP="00565532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65532" w:rsidRPr="006E32E0" w:rsidRDefault="00565532" w:rsidP="005061BB">
      <w:pPr>
        <w:rPr>
          <w:rFonts w:asciiTheme="majorBidi" w:hAnsiTheme="majorBidi" w:cstheme="majorBidi"/>
          <w:sz w:val="24"/>
          <w:szCs w:val="24"/>
        </w:rPr>
      </w:pPr>
      <w:r w:rsidRPr="006E32E0">
        <w:rPr>
          <w:rFonts w:asciiTheme="majorBidi" w:hAnsiTheme="majorBidi" w:cstheme="majorBidi"/>
          <w:b/>
          <w:bCs/>
          <w:sz w:val="24"/>
          <w:szCs w:val="24"/>
        </w:rPr>
        <w:t>Mots clés 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6E32E0">
        <w:rPr>
          <w:rFonts w:asciiTheme="majorBidi" w:hAnsiTheme="majorBidi" w:cstheme="majorBidi"/>
          <w:i/>
          <w:iCs/>
          <w:sz w:val="24"/>
          <w:szCs w:val="24"/>
        </w:rPr>
        <w:t>Anethum graveolens </w:t>
      </w:r>
      <w:r w:rsidRPr="006E32E0">
        <w:rPr>
          <w:rFonts w:asciiTheme="majorBidi" w:hAnsiTheme="majorBidi" w:cstheme="majorBidi"/>
          <w:sz w:val="24"/>
          <w:szCs w:val="24"/>
        </w:rPr>
        <w:t xml:space="preserve">L., </w:t>
      </w:r>
      <w:r w:rsidRPr="006E32E0">
        <w:rPr>
          <w:rFonts w:asciiTheme="majorBidi" w:hAnsiTheme="majorBidi" w:cstheme="majorBidi"/>
          <w:i/>
          <w:iCs/>
          <w:sz w:val="24"/>
          <w:szCs w:val="24"/>
        </w:rPr>
        <w:t>Pituranthos scoparius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6E32E0">
        <w:rPr>
          <w:rFonts w:ascii="Times New Roman" w:hAnsi="Times New Roman" w:cs="Times New Roman"/>
          <w:sz w:val="24"/>
          <w:szCs w:val="24"/>
        </w:rPr>
        <w:t>criblage chimique, criblage biologique, huiles essentielles, extraits phénoliques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65532" w:rsidRPr="00370D0F" w:rsidRDefault="00565532" w:rsidP="00565532">
      <w:pPr>
        <w:rPr>
          <w:rFonts w:asciiTheme="majorBidi" w:hAnsiTheme="majorBidi" w:cstheme="majorBidi"/>
          <w:sz w:val="24"/>
          <w:szCs w:val="24"/>
        </w:rPr>
      </w:pPr>
    </w:p>
    <w:p w:rsidR="005019CE" w:rsidRDefault="005019CE"/>
    <w:sectPr w:rsidR="005019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65532"/>
    <w:rsid w:val="00072071"/>
    <w:rsid w:val="005019CE"/>
    <w:rsid w:val="005061BB"/>
    <w:rsid w:val="00565532"/>
    <w:rsid w:val="00C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135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KSCNS</dc:creator>
  <cp:keywords/>
  <dc:description/>
  <cp:lastModifiedBy>station03</cp:lastModifiedBy>
  <cp:revision>4</cp:revision>
  <dcterms:created xsi:type="dcterms:W3CDTF">2017-05-12T23:34:00Z</dcterms:created>
  <dcterms:modified xsi:type="dcterms:W3CDTF">2017-05-15T11:21:00Z</dcterms:modified>
</cp:coreProperties>
</file>