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3A59" w:rsidRPr="00F4251E" w:rsidRDefault="00423A59" w:rsidP="0072129D">
      <w:pPr>
        <w:spacing w:beforeLines="120" w:before="28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00A8">
        <w:rPr>
          <w:rFonts w:ascii="Times New Roman" w:hAnsi="Times New Roman" w:cs="Times New Roman"/>
          <w:b/>
          <w:sz w:val="32"/>
          <w:szCs w:val="32"/>
          <w:u w:val="single"/>
        </w:rPr>
        <w:t>Résumé </w:t>
      </w:r>
      <w:r w:rsidRPr="00F4251E">
        <w:rPr>
          <w:rFonts w:ascii="Times New Roman" w:hAnsi="Times New Roman" w:cs="Times New Roman"/>
          <w:b/>
          <w:sz w:val="24"/>
          <w:szCs w:val="24"/>
        </w:rPr>
        <w:t>:</w:t>
      </w:r>
      <w:bookmarkStart w:id="0" w:name="_GoBack"/>
      <w:bookmarkEnd w:id="0"/>
    </w:p>
    <w:p w:rsidR="00423A59" w:rsidRPr="00F4251E" w:rsidRDefault="00423A59" w:rsidP="0072129D">
      <w:pPr>
        <w:spacing w:beforeLines="120" w:before="288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Klebsiella</w:t>
      </w:r>
      <w:proofErr w:type="spellEnd"/>
      <w:r w:rsidRPr="00F4251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pneumoniae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est un important pathogène opportuniste à l’origine de diverses infections nosocomiales et communautaires chez l’homme. La mortalité et la morbidité dues à cette bactérie ont dramatiquement évolué et sont directement liées à son pouvoir pathogène et sa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multirésistance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aux antibiotiques. L’objectif de l’étude était de caractériser</w:t>
      </w:r>
      <w:r w:rsidR="00EB1BCB" w:rsidRPr="00F4251E">
        <w:rPr>
          <w:rFonts w:ascii="Times New Roman" w:hAnsi="Times New Roman" w:cs="Times New Roman"/>
          <w:sz w:val="24"/>
          <w:szCs w:val="24"/>
        </w:rPr>
        <w:t xml:space="preserve"> </w:t>
      </w:r>
      <w:r w:rsidRPr="00F4251E">
        <w:rPr>
          <w:rFonts w:ascii="Times New Roman" w:hAnsi="Times New Roman" w:cs="Times New Roman"/>
          <w:sz w:val="24"/>
          <w:szCs w:val="24"/>
        </w:rPr>
        <w:t>la virulence et la résistance aux antibiotiques</w:t>
      </w:r>
      <w:r w:rsidR="00EB1BCB" w:rsidRPr="00F4251E">
        <w:rPr>
          <w:rFonts w:ascii="Times New Roman" w:hAnsi="Times New Roman" w:cs="Times New Roman"/>
          <w:sz w:val="24"/>
          <w:szCs w:val="24"/>
        </w:rPr>
        <w:t xml:space="preserve"> </w:t>
      </w:r>
      <w:r w:rsidRPr="00F4251E">
        <w:rPr>
          <w:rFonts w:ascii="Times New Roman" w:hAnsi="Times New Roman" w:cs="Times New Roman"/>
          <w:sz w:val="24"/>
          <w:szCs w:val="24"/>
        </w:rPr>
        <w:t xml:space="preserve">de 120 souches cliniques de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Klebsiella</w:t>
      </w:r>
      <w:proofErr w:type="spellEnd"/>
      <w:r w:rsidRPr="00F4251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pneumoniae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>, et de rechercher un lien éventuel entre ces deux caractéristiques.</w:t>
      </w:r>
    </w:p>
    <w:p w:rsidR="009D6937" w:rsidRPr="00F4251E" w:rsidRDefault="00423A59" w:rsidP="0072129D">
      <w:pPr>
        <w:spacing w:beforeLines="120" w:before="288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4251E">
        <w:rPr>
          <w:rFonts w:ascii="Times New Roman" w:hAnsi="Times New Roman" w:cs="Times New Roman"/>
          <w:sz w:val="24"/>
          <w:szCs w:val="24"/>
        </w:rPr>
        <w:t xml:space="preserve">Concernant la virulence bactérienne, les résultats ont montré la présence majoritaire des gènes des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adhésines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de types 1 (98.3%) et 3 (97.5%) et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YcFM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(95 %) ; le taux du gène de l’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adhésine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Kpn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était plus faible (65.8%) alors que le gène de l’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adhésine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afimbrillaire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CF29K était absent. </w:t>
      </w:r>
      <w:r w:rsidR="001245BC" w:rsidRPr="00F4251E">
        <w:rPr>
          <w:rFonts w:ascii="Times New Roman" w:hAnsi="Times New Roman" w:cs="Times New Roman"/>
          <w:sz w:val="24"/>
          <w:szCs w:val="24"/>
        </w:rPr>
        <w:t>La prévalence</w:t>
      </w:r>
      <w:r w:rsidRPr="00F4251E">
        <w:rPr>
          <w:rFonts w:ascii="Times New Roman" w:hAnsi="Times New Roman" w:cs="Times New Roman"/>
          <w:sz w:val="24"/>
          <w:szCs w:val="24"/>
        </w:rPr>
        <w:t xml:space="preserve"> des gènes de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sidérophores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étaient de 100% (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entérobac</w:t>
      </w:r>
      <w:r w:rsidR="00EB1BCB" w:rsidRPr="00F4251E">
        <w:rPr>
          <w:rFonts w:ascii="Times New Roman" w:hAnsi="Times New Roman" w:cs="Times New Roman"/>
          <w:sz w:val="24"/>
          <w:szCs w:val="24"/>
        </w:rPr>
        <w:t>tine</w:t>
      </w:r>
      <w:proofErr w:type="spellEnd"/>
      <w:r w:rsidR="00EB1BCB" w:rsidRPr="00F4251E">
        <w:rPr>
          <w:rFonts w:ascii="Times New Roman" w:hAnsi="Times New Roman" w:cs="Times New Roman"/>
          <w:sz w:val="24"/>
          <w:szCs w:val="24"/>
        </w:rPr>
        <w:t>), 36.6% (</w:t>
      </w:r>
      <w:proofErr w:type="spellStart"/>
      <w:r w:rsidR="00EB1BCB" w:rsidRPr="00F4251E">
        <w:rPr>
          <w:rFonts w:ascii="Times New Roman" w:hAnsi="Times New Roman" w:cs="Times New Roman"/>
          <w:sz w:val="24"/>
          <w:szCs w:val="24"/>
        </w:rPr>
        <w:t>yersiniabactine</w:t>
      </w:r>
      <w:proofErr w:type="spellEnd"/>
      <w:r w:rsidR="00EB1BCB" w:rsidRPr="00F4251E">
        <w:rPr>
          <w:rFonts w:ascii="Times New Roman" w:hAnsi="Times New Roman" w:cs="Times New Roman"/>
          <w:sz w:val="24"/>
          <w:szCs w:val="24"/>
        </w:rPr>
        <w:t xml:space="preserve">), </w:t>
      </w:r>
      <w:r w:rsidRPr="00F4251E">
        <w:rPr>
          <w:rFonts w:ascii="Times New Roman" w:hAnsi="Times New Roman" w:cs="Times New Roman"/>
          <w:sz w:val="24"/>
          <w:szCs w:val="24"/>
        </w:rPr>
        <w:t>2.5% (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aéroba</w:t>
      </w:r>
      <w:r w:rsidR="00EB1BCB" w:rsidRPr="00F4251E">
        <w:rPr>
          <w:rFonts w:ascii="Times New Roman" w:hAnsi="Times New Roman" w:cs="Times New Roman"/>
          <w:sz w:val="24"/>
          <w:szCs w:val="24"/>
        </w:rPr>
        <w:t>ctine</w:t>
      </w:r>
      <w:proofErr w:type="spellEnd"/>
      <w:r w:rsidR="00EB1BCB" w:rsidRPr="00F4251E">
        <w:rPr>
          <w:rFonts w:ascii="Times New Roman" w:hAnsi="Times New Roman" w:cs="Times New Roman"/>
          <w:sz w:val="24"/>
          <w:szCs w:val="24"/>
        </w:rPr>
        <w:t>) et 1.6% (</w:t>
      </w:r>
      <w:proofErr w:type="spellStart"/>
      <w:r w:rsidR="00EB1BCB" w:rsidRPr="00F4251E">
        <w:rPr>
          <w:rFonts w:ascii="Times New Roman" w:hAnsi="Times New Roman" w:cs="Times New Roman"/>
          <w:sz w:val="24"/>
          <w:szCs w:val="24"/>
        </w:rPr>
        <w:t>salmochélines</w:t>
      </w:r>
      <w:proofErr w:type="spellEnd"/>
      <w:r w:rsidR="00EB1BCB" w:rsidRPr="00F4251E">
        <w:rPr>
          <w:rFonts w:ascii="Times New Roman" w:hAnsi="Times New Roman" w:cs="Times New Roman"/>
          <w:sz w:val="24"/>
          <w:szCs w:val="24"/>
        </w:rPr>
        <w:t xml:space="preserve">). </w:t>
      </w:r>
      <w:r w:rsidRPr="00F4251E">
        <w:rPr>
          <w:rFonts w:ascii="Times New Roman" w:hAnsi="Times New Roman" w:cs="Times New Roman"/>
          <w:sz w:val="24"/>
          <w:szCs w:val="24"/>
        </w:rPr>
        <w:t>Le phénotype d’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hypermucoviscosité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et le gène associé </w:t>
      </w:r>
      <w:proofErr w:type="spellStart"/>
      <w:r w:rsidRPr="00F4251E">
        <w:rPr>
          <w:rFonts w:ascii="Times New Roman" w:hAnsi="Times New Roman" w:cs="Times New Roman"/>
          <w:i/>
          <w:iCs/>
          <w:sz w:val="24"/>
          <w:szCs w:val="24"/>
        </w:rPr>
        <w:t>rmpA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étaient présents chez 4.2% et 1.6% des souches. Tous les isolats avaient une capsule et la quasi-totalité possédaient les gènes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wabG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(93.3%) et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uge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(9</w:t>
      </w:r>
      <w:r w:rsidR="00BA07E4" w:rsidRPr="00F4251E">
        <w:rPr>
          <w:rFonts w:ascii="Times New Roman" w:hAnsi="Times New Roman" w:cs="Times New Roman"/>
          <w:sz w:val="24"/>
          <w:szCs w:val="24"/>
        </w:rPr>
        <w:t>4.2</w:t>
      </w:r>
      <w:r w:rsidRPr="00F4251E">
        <w:rPr>
          <w:rFonts w:ascii="Times New Roman" w:hAnsi="Times New Roman" w:cs="Times New Roman"/>
          <w:sz w:val="24"/>
          <w:szCs w:val="24"/>
        </w:rPr>
        <w:t xml:space="preserve">%) associés à la biosynthèse du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lipopolysccharide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et </w:t>
      </w:r>
      <w:r w:rsidR="001245BC" w:rsidRPr="00F4251E">
        <w:rPr>
          <w:rFonts w:ascii="Times New Roman" w:hAnsi="Times New Roman" w:cs="Times New Roman"/>
          <w:sz w:val="24"/>
          <w:szCs w:val="24"/>
        </w:rPr>
        <w:t>de</w:t>
      </w:r>
      <w:r w:rsidRPr="00F4251E">
        <w:rPr>
          <w:rFonts w:ascii="Times New Roman" w:hAnsi="Times New Roman" w:cs="Times New Roman"/>
          <w:sz w:val="24"/>
          <w:szCs w:val="24"/>
        </w:rPr>
        <w:t xml:space="preserve"> la capsule. 95% des souches ont été capables de former un biofilm. La résistance à l’effet bactéricide du sérum a été observée chez 94.2% des souches, tandis que les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sérotypes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capsulaires K1, K2, K5, K20, K54 et K57 étaient absents sauf chez</w:t>
      </w:r>
      <w:r w:rsidR="00D91A93">
        <w:rPr>
          <w:rFonts w:ascii="Times New Roman" w:hAnsi="Times New Roman" w:cs="Times New Roman"/>
          <w:sz w:val="24"/>
          <w:szCs w:val="24"/>
        </w:rPr>
        <w:t xml:space="preserve"> 2 souches de </w:t>
      </w:r>
      <w:proofErr w:type="spellStart"/>
      <w:r w:rsidR="00D91A93">
        <w:rPr>
          <w:rFonts w:ascii="Times New Roman" w:hAnsi="Times New Roman" w:cs="Times New Roman"/>
          <w:sz w:val="24"/>
          <w:szCs w:val="24"/>
        </w:rPr>
        <w:t>sérotype</w:t>
      </w:r>
      <w:proofErr w:type="spellEnd"/>
      <w:r w:rsidR="00D91A93">
        <w:rPr>
          <w:rFonts w:ascii="Times New Roman" w:hAnsi="Times New Roman" w:cs="Times New Roman"/>
          <w:sz w:val="24"/>
          <w:szCs w:val="24"/>
        </w:rPr>
        <w:t xml:space="preserve"> K5 et le gène</w:t>
      </w:r>
      <w:r w:rsidRPr="00F425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251E">
        <w:rPr>
          <w:rFonts w:ascii="Times New Roman" w:hAnsi="Times New Roman" w:cs="Times New Roman"/>
          <w:i/>
          <w:sz w:val="24"/>
          <w:szCs w:val="24"/>
        </w:rPr>
        <w:t>traT</w:t>
      </w:r>
      <w:proofErr w:type="spellEnd"/>
      <w:r w:rsidR="00D91A93">
        <w:rPr>
          <w:rFonts w:ascii="Times New Roman" w:hAnsi="Times New Roman" w:cs="Times New Roman"/>
          <w:sz w:val="24"/>
          <w:szCs w:val="24"/>
        </w:rPr>
        <w:t xml:space="preserve"> susceptible</w:t>
      </w:r>
      <w:r w:rsidRPr="00F4251E">
        <w:rPr>
          <w:rFonts w:ascii="Times New Roman" w:hAnsi="Times New Roman" w:cs="Times New Roman"/>
          <w:sz w:val="24"/>
          <w:szCs w:val="24"/>
        </w:rPr>
        <w:t xml:space="preserve"> de confér</w:t>
      </w:r>
      <w:r w:rsidR="00D91A93">
        <w:rPr>
          <w:rFonts w:ascii="Times New Roman" w:hAnsi="Times New Roman" w:cs="Times New Roman"/>
          <w:sz w:val="24"/>
          <w:szCs w:val="24"/>
        </w:rPr>
        <w:t>er la résistance au sérum étai</w:t>
      </w:r>
      <w:r w:rsidRPr="00F4251E">
        <w:rPr>
          <w:rFonts w:ascii="Times New Roman" w:hAnsi="Times New Roman" w:cs="Times New Roman"/>
          <w:sz w:val="24"/>
          <w:szCs w:val="24"/>
        </w:rPr>
        <w:t>t ra</w:t>
      </w:r>
      <w:r w:rsidR="00E366A3">
        <w:rPr>
          <w:rFonts w:ascii="Times New Roman" w:hAnsi="Times New Roman" w:cs="Times New Roman"/>
          <w:sz w:val="24"/>
          <w:szCs w:val="24"/>
        </w:rPr>
        <w:t>re</w:t>
      </w:r>
      <w:r w:rsidRPr="00F4251E">
        <w:rPr>
          <w:rFonts w:ascii="Times New Roman" w:hAnsi="Times New Roman" w:cs="Times New Roman"/>
          <w:sz w:val="24"/>
          <w:szCs w:val="24"/>
        </w:rPr>
        <w:t xml:space="preserve"> (0.8%). Les gènes codant les toxines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HlyA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et CNF-1 étaient absents et ceux de la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colibactine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étaient rares (2,5%). Le gène </w:t>
      </w:r>
      <w:proofErr w:type="spellStart"/>
      <w:r w:rsidRPr="00F4251E">
        <w:rPr>
          <w:rFonts w:ascii="Times New Roman" w:hAnsi="Times New Roman" w:cs="Times New Roman"/>
          <w:i/>
          <w:iCs/>
          <w:sz w:val="24"/>
          <w:szCs w:val="24"/>
        </w:rPr>
        <w:t>ureA</w:t>
      </w:r>
      <w:proofErr w:type="spellEnd"/>
      <w:r w:rsidRPr="00F4251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F4251E">
        <w:rPr>
          <w:rFonts w:ascii="Times New Roman" w:hAnsi="Times New Roman" w:cs="Times New Roman"/>
          <w:sz w:val="24"/>
          <w:szCs w:val="24"/>
        </w:rPr>
        <w:t xml:space="preserve">impliqué dans la colonisation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gasto-intestinale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a été détecté chez 97.5% des</w:t>
      </w:r>
      <w:r w:rsidR="00BA07E4" w:rsidRPr="00F4251E">
        <w:rPr>
          <w:rFonts w:ascii="Times New Roman" w:hAnsi="Times New Roman" w:cs="Times New Roman"/>
          <w:sz w:val="24"/>
          <w:szCs w:val="24"/>
        </w:rPr>
        <w:t xml:space="preserve"> souches. 23</w:t>
      </w:r>
      <w:r w:rsidRPr="00F4251E">
        <w:rPr>
          <w:rFonts w:ascii="Times New Roman" w:hAnsi="Times New Roman" w:cs="Times New Roman"/>
          <w:sz w:val="24"/>
          <w:szCs w:val="24"/>
        </w:rPr>
        <w:t xml:space="preserve"> profils de virulence ont été mis en évide</w:t>
      </w:r>
      <w:r w:rsidR="00BA07E4" w:rsidRPr="00F4251E">
        <w:rPr>
          <w:rFonts w:ascii="Times New Roman" w:hAnsi="Times New Roman" w:cs="Times New Roman"/>
          <w:sz w:val="24"/>
          <w:szCs w:val="24"/>
        </w:rPr>
        <w:t>nce</w:t>
      </w:r>
      <w:r w:rsidR="001245BC" w:rsidRPr="00F4251E">
        <w:rPr>
          <w:rFonts w:ascii="Times New Roman" w:hAnsi="Times New Roman" w:cs="Times New Roman"/>
          <w:sz w:val="24"/>
          <w:szCs w:val="24"/>
        </w:rPr>
        <w:t xml:space="preserve">, avec la prédominance de 2 profils (72.5% des souches) comprenant des facteurs communs aux souches de </w:t>
      </w:r>
      <w:r w:rsidR="001245BC" w:rsidRPr="00F4251E">
        <w:rPr>
          <w:rFonts w:ascii="Times New Roman" w:hAnsi="Times New Roman" w:cs="Times New Roman"/>
          <w:i/>
          <w:iCs/>
          <w:sz w:val="24"/>
          <w:szCs w:val="24"/>
        </w:rPr>
        <w:t xml:space="preserve">K. </w:t>
      </w:r>
      <w:proofErr w:type="spellStart"/>
      <w:r w:rsidR="001245BC" w:rsidRPr="00F4251E">
        <w:rPr>
          <w:rFonts w:ascii="Times New Roman" w:hAnsi="Times New Roman" w:cs="Times New Roman"/>
          <w:i/>
          <w:iCs/>
          <w:sz w:val="24"/>
          <w:szCs w:val="24"/>
        </w:rPr>
        <w:t>pneumoniae</w:t>
      </w:r>
      <w:proofErr w:type="spellEnd"/>
      <w:r w:rsidR="001245BC" w:rsidRPr="00F4251E">
        <w:rPr>
          <w:rFonts w:ascii="Times New Roman" w:hAnsi="Times New Roman" w:cs="Times New Roman"/>
          <w:sz w:val="24"/>
          <w:szCs w:val="24"/>
        </w:rPr>
        <w:t xml:space="preserve"> causant des infections classiques</w:t>
      </w:r>
      <w:r w:rsidR="00BA07E4" w:rsidRPr="00F4251E">
        <w:rPr>
          <w:rFonts w:ascii="Times New Roman" w:hAnsi="Times New Roman" w:cs="Times New Roman"/>
          <w:sz w:val="24"/>
          <w:szCs w:val="24"/>
        </w:rPr>
        <w:t>.</w:t>
      </w:r>
      <w:r w:rsidRPr="00F4251E">
        <w:rPr>
          <w:rFonts w:ascii="Times New Roman" w:hAnsi="Times New Roman" w:cs="Times New Roman"/>
          <w:sz w:val="24"/>
          <w:szCs w:val="24"/>
        </w:rPr>
        <w:t xml:space="preserve"> L</w:t>
      </w:r>
      <w:r w:rsidRPr="00F4251E">
        <w:rPr>
          <w:rFonts w:asciiTheme="majorBidi" w:hAnsiTheme="majorBidi" w:cstheme="majorBidi"/>
          <w:sz w:val="24"/>
          <w:szCs w:val="24"/>
        </w:rPr>
        <w:t>e reste des souches possédaient</w:t>
      </w:r>
      <w:r w:rsidR="008104E9" w:rsidRPr="00F4251E">
        <w:rPr>
          <w:rFonts w:asciiTheme="majorBidi" w:hAnsiTheme="majorBidi" w:cstheme="majorBidi"/>
          <w:sz w:val="24"/>
          <w:szCs w:val="24"/>
        </w:rPr>
        <w:t>,</w:t>
      </w:r>
      <w:r w:rsidRPr="00F4251E">
        <w:rPr>
          <w:rFonts w:asciiTheme="majorBidi" w:hAnsiTheme="majorBidi" w:cstheme="majorBidi"/>
          <w:sz w:val="24"/>
          <w:szCs w:val="24"/>
        </w:rPr>
        <w:t xml:space="preserve"> en plus</w:t>
      </w:r>
      <w:r w:rsidR="008104E9" w:rsidRPr="00F4251E">
        <w:rPr>
          <w:rFonts w:asciiTheme="majorBidi" w:hAnsiTheme="majorBidi" w:cstheme="majorBidi"/>
          <w:sz w:val="24"/>
          <w:szCs w:val="24"/>
        </w:rPr>
        <w:t>,</w:t>
      </w:r>
      <w:r w:rsidRPr="00F4251E">
        <w:rPr>
          <w:rFonts w:asciiTheme="majorBidi" w:hAnsiTheme="majorBidi" w:cstheme="majorBidi"/>
          <w:sz w:val="24"/>
          <w:szCs w:val="24"/>
        </w:rPr>
        <w:t xml:space="preserve"> des facteurs impliqués dans l’</w:t>
      </w:r>
      <w:proofErr w:type="spellStart"/>
      <w:r w:rsidRPr="00F4251E">
        <w:rPr>
          <w:rFonts w:asciiTheme="majorBidi" w:hAnsiTheme="majorBidi" w:cstheme="majorBidi"/>
          <w:sz w:val="24"/>
          <w:szCs w:val="24"/>
        </w:rPr>
        <w:t>invasivité</w:t>
      </w:r>
      <w:proofErr w:type="spellEnd"/>
      <w:r w:rsidRPr="00F4251E">
        <w:rPr>
          <w:rFonts w:asciiTheme="majorBidi" w:hAnsiTheme="majorBidi" w:cstheme="majorBidi"/>
          <w:sz w:val="24"/>
          <w:szCs w:val="24"/>
        </w:rPr>
        <w:t xml:space="preserve"> et/ou la </w:t>
      </w:r>
      <w:proofErr w:type="spellStart"/>
      <w:r w:rsidRPr="00F4251E">
        <w:rPr>
          <w:rFonts w:asciiTheme="majorBidi" w:hAnsiTheme="majorBidi" w:cstheme="majorBidi"/>
          <w:sz w:val="24"/>
          <w:szCs w:val="24"/>
        </w:rPr>
        <w:t>génotoxicité</w:t>
      </w:r>
      <w:proofErr w:type="spellEnd"/>
      <w:r w:rsidRPr="00F4251E">
        <w:rPr>
          <w:rFonts w:asciiTheme="majorBidi" w:hAnsiTheme="majorBidi" w:cstheme="majorBidi"/>
          <w:sz w:val="24"/>
          <w:szCs w:val="24"/>
        </w:rPr>
        <w:t xml:space="preserve"> ; parmi elles, deux souches avaient </w:t>
      </w:r>
      <w:r w:rsidRPr="00F4251E">
        <w:rPr>
          <w:rFonts w:ascii="Times New Roman" w:hAnsi="Times New Roman" w:cs="Times New Roman"/>
          <w:sz w:val="24"/>
          <w:szCs w:val="24"/>
        </w:rPr>
        <w:t>le maximum de facteurs de virulence dont ceux impliqués dans l’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hypervirulence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de </w:t>
      </w:r>
      <w:r w:rsidRPr="00F4251E">
        <w:rPr>
          <w:rFonts w:ascii="Times New Roman" w:hAnsi="Times New Roman" w:cs="Times New Roman"/>
          <w:i/>
          <w:iCs/>
          <w:sz w:val="24"/>
          <w:szCs w:val="24"/>
        </w:rPr>
        <w:t xml:space="preserve">K. </w:t>
      </w:r>
      <w:proofErr w:type="spellStart"/>
      <w:r w:rsidRPr="00F4251E">
        <w:rPr>
          <w:rFonts w:ascii="Times New Roman" w:hAnsi="Times New Roman" w:cs="Times New Roman"/>
          <w:i/>
          <w:iCs/>
          <w:sz w:val="24"/>
          <w:szCs w:val="24"/>
        </w:rPr>
        <w:t>pneumoniae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et leurs DL</w:t>
      </w:r>
      <w:r w:rsidRPr="00C33481">
        <w:rPr>
          <w:rFonts w:ascii="Times New Roman" w:hAnsi="Times New Roman" w:cs="Times New Roman"/>
          <w:sz w:val="24"/>
          <w:szCs w:val="24"/>
        </w:rPr>
        <w:t>50</w:t>
      </w:r>
      <w:r w:rsidR="008104E9" w:rsidRPr="00F4251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4251E">
        <w:rPr>
          <w:rFonts w:ascii="Times New Roman" w:hAnsi="Times New Roman" w:cs="Times New Roman"/>
          <w:sz w:val="24"/>
          <w:szCs w:val="24"/>
        </w:rPr>
        <w:t>chez la souris ont été très basses (&lt; 10</w:t>
      </w:r>
      <w:r w:rsidRPr="00F4251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4251E">
        <w:rPr>
          <w:rFonts w:ascii="Times New Roman" w:hAnsi="Times New Roman" w:cs="Times New Roman"/>
          <w:sz w:val="24"/>
          <w:szCs w:val="24"/>
        </w:rPr>
        <w:t xml:space="preserve"> UFC). 64.2% des souches étaient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multirésistantes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aux antibiotiques</w:t>
      </w:r>
      <w:r w:rsidR="0084632C" w:rsidRPr="00F4251E">
        <w:rPr>
          <w:rFonts w:ascii="Times New Roman" w:hAnsi="Times New Roman" w:cs="Times New Roman"/>
          <w:sz w:val="24"/>
          <w:szCs w:val="24"/>
        </w:rPr>
        <w:t xml:space="preserve"> (MDR)</w:t>
      </w:r>
      <w:r w:rsidRPr="00F4251E">
        <w:rPr>
          <w:rFonts w:ascii="Times New Roman" w:hAnsi="Times New Roman" w:cs="Times New Roman"/>
          <w:sz w:val="24"/>
          <w:szCs w:val="24"/>
        </w:rPr>
        <w:t>. La résistance aux β-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lactamines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a mis en évidence </w:t>
      </w:r>
      <w:r w:rsidR="009037D0" w:rsidRPr="00F4251E">
        <w:rPr>
          <w:rFonts w:ascii="Times New Roman" w:hAnsi="Times New Roman" w:cs="Times New Roman"/>
          <w:sz w:val="24"/>
          <w:szCs w:val="24"/>
        </w:rPr>
        <w:t xml:space="preserve">la prédominance des phénotypes de résistance acquise avec 52.5% </w:t>
      </w:r>
      <w:r w:rsidR="000A5CD3" w:rsidRPr="00F4251E">
        <w:rPr>
          <w:rFonts w:ascii="Times New Roman" w:hAnsi="Times New Roman" w:cs="Times New Roman"/>
          <w:sz w:val="24"/>
          <w:szCs w:val="24"/>
        </w:rPr>
        <w:t xml:space="preserve">de souches </w:t>
      </w:r>
      <w:r w:rsidR="009037D0" w:rsidRPr="00F4251E">
        <w:rPr>
          <w:rFonts w:ascii="Times New Roman" w:hAnsi="Times New Roman" w:cs="Times New Roman"/>
          <w:sz w:val="24"/>
          <w:szCs w:val="24"/>
        </w:rPr>
        <w:t>productrices de β-</w:t>
      </w:r>
      <w:proofErr w:type="spellStart"/>
      <w:r w:rsidR="009037D0" w:rsidRPr="00F4251E">
        <w:rPr>
          <w:rFonts w:ascii="Times New Roman" w:hAnsi="Times New Roman" w:cs="Times New Roman"/>
          <w:sz w:val="24"/>
          <w:szCs w:val="24"/>
        </w:rPr>
        <w:t>lactamases</w:t>
      </w:r>
      <w:proofErr w:type="spellEnd"/>
      <w:r w:rsidR="009037D0" w:rsidRPr="00F4251E">
        <w:rPr>
          <w:rFonts w:ascii="Times New Roman" w:hAnsi="Times New Roman" w:cs="Times New Roman"/>
          <w:sz w:val="24"/>
          <w:szCs w:val="24"/>
        </w:rPr>
        <w:t xml:space="preserve"> à spectre étendu (BLSE</w:t>
      </w:r>
      <w:r w:rsidRPr="00F4251E">
        <w:rPr>
          <w:rFonts w:ascii="Times New Roman" w:hAnsi="Times New Roman" w:cs="Times New Roman"/>
          <w:sz w:val="24"/>
          <w:szCs w:val="24"/>
        </w:rPr>
        <w:t>)</w:t>
      </w:r>
      <w:r w:rsidR="009037D0" w:rsidRPr="00F4251E">
        <w:rPr>
          <w:rFonts w:ascii="Times New Roman" w:hAnsi="Times New Roman" w:cs="Times New Roman"/>
          <w:sz w:val="24"/>
          <w:szCs w:val="24"/>
        </w:rPr>
        <w:t xml:space="preserve"> </w:t>
      </w:r>
      <w:r w:rsidR="000A5CD3" w:rsidRPr="00F4251E">
        <w:rPr>
          <w:rFonts w:ascii="Times New Roman" w:hAnsi="Times New Roman" w:cs="Times New Roman"/>
          <w:sz w:val="24"/>
          <w:szCs w:val="24"/>
        </w:rPr>
        <w:t xml:space="preserve">codées par les gènes </w:t>
      </w:r>
      <w:proofErr w:type="spellStart"/>
      <w:r w:rsidR="000A5CD3" w:rsidRPr="00F4251E">
        <w:rPr>
          <w:rFonts w:ascii="Times New Roman" w:hAnsi="Times New Roman" w:cs="Times New Roman"/>
          <w:i/>
          <w:sz w:val="24"/>
          <w:szCs w:val="24"/>
        </w:rPr>
        <w:t>bla</w:t>
      </w:r>
      <w:r w:rsidR="009037D0" w:rsidRPr="00F4251E">
        <w:rPr>
          <w:rFonts w:ascii="Times New Roman" w:hAnsi="Times New Roman" w:cs="Times New Roman"/>
          <w:sz w:val="24"/>
          <w:szCs w:val="24"/>
          <w:vertAlign w:val="subscript"/>
        </w:rPr>
        <w:t>CTX</w:t>
      </w:r>
      <w:proofErr w:type="spellEnd"/>
      <w:r w:rsidR="009037D0" w:rsidRPr="00F4251E">
        <w:rPr>
          <w:rFonts w:ascii="Times New Roman" w:hAnsi="Times New Roman" w:cs="Times New Roman"/>
          <w:sz w:val="24"/>
          <w:szCs w:val="24"/>
          <w:vertAlign w:val="subscript"/>
        </w:rPr>
        <w:t>-M</w:t>
      </w:r>
      <w:r w:rsidR="000A5CD3" w:rsidRPr="00F4251E">
        <w:rPr>
          <w:rFonts w:ascii="Times New Roman" w:hAnsi="Times New Roman" w:cs="Times New Roman"/>
          <w:sz w:val="24"/>
          <w:szCs w:val="24"/>
        </w:rPr>
        <w:t xml:space="preserve"> du groupe 1</w:t>
      </w:r>
      <w:r w:rsidRPr="00F4251E">
        <w:rPr>
          <w:rFonts w:ascii="Times New Roman" w:hAnsi="Times New Roman" w:cs="Times New Roman"/>
          <w:sz w:val="24"/>
          <w:szCs w:val="24"/>
        </w:rPr>
        <w:t>.</w:t>
      </w:r>
      <w:r w:rsidRPr="00F4251E">
        <w:rPr>
          <w:rFonts w:asciiTheme="majorBidi" w:hAnsiTheme="majorBidi" w:cstheme="majorBidi"/>
          <w:sz w:val="24"/>
          <w:szCs w:val="24"/>
        </w:rPr>
        <w:t xml:space="preserve"> Concernant les non β-lactames, les taux de résistance les plus élevés ont été notés pour les aminosides (66.6%), sulfamides et </w:t>
      </w:r>
      <w:proofErr w:type="spellStart"/>
      <w:r w:rsidRPr="00F4251E">
        <w:rPr>
          <w:rFonts w:asciiTheme="majorBidi" w:hAnsiTheme="majorBidi" w:cstheme="majorBidi"/>
          <w:sz w:val="24"/>
          <w:szCs w:val="24"/>
        </w:rPr>
        <w:t>triméthoprime</w:t>
      </w:r>
      <w:proofErr w:type="spellEnd"/>
      <w:r w:rsidRPr="00F4251E">
        <w:rPr>
          <w:rFonts w:asciiTheme="majorBidi" w:hAnsiTheme="majorBidi" w:cstheme="majorBidi"/>
          <w:sz w:val="24"/>
          <w:szCs w:val="24"/>
        </w:rPr>
        <w:t xml:space="preserve"> (65.8%), suivis de la tétracycline (26.6%) et des quinolones/</w:t>
      </w:r>
      <w:proofErr w:type="spellStart"/>
      <w:r w:rsidRPr="00F4251E">
        <w:rPr>
          <w:rFonts w:asciiTheme="majorBidi" w:hAnsiTheme="majorBidi" w:cstheme="majorBidi"/>
          <w:sz w:val="24"/>
          <w:szCs w:val="24"/>
        </w:rPr>
        <w:t>fluoroquinolones</w:t>
      </w:r>
      <w:proofErr w:type="spellEnd"/>
      <w:r w:rsidRPr="00F4251E">
        <w:rPr>
          <w:rFonts w:asciiTheme="majorBidi" w:hAnsiTheme="majorBidi" w:cstheme="majorBidi"/>
          <w:sz w:val="24"/>
          <w:szCs w:val="24"/>
        </w:rPr>
        <w:t xml:space="preserve"> (10.8%). Les gènes de résistance </w:t>
      </w:r>
      <w:r w:rsidR="009037D0" w:rsidRPr="00F4251E">
        <w:rPr>
          <w:rFonts w:asciiTheme="majorBidi" w:hAnsiTheme="majorBidi" w:cstheme="majorBidi"/>
          <w:sz w:val="24"/>
          <w:szCs w:val="24"/>
        </w:rPr>
        <w:t>impliqués</w:t>
      </w:r>
      <w:r w:rsidRPr="00F4251E">
        <w:rPr>
          <w:rFonts w:asciiTheme="majorBidi" w:hAnsiTheme="majorBidi" w:cstheme="majorBidi"/>
          <w:sz w:val="24"/>
          <w:szCs w:val="24"/>
        </w:rPr>
        <w:t xml:space="preserve"> ont été : </w:t>
      </w:r>
      <w:proofErr w:type="spellStart"/>
      <w:r w:rsidRPr="00F4251E">
        <w:rPr>
          <w:rFonts w:asciiTheme="majorBidi" w:hAnsiTheme="majorBidi" w:cstheme="majorBidi"/>
          <w:i/>
          <w:sz w:val="24"/>
          <w:szCs w:val="24"/>
        </w:rPr>
        <w:t>sul</w:t>
      </w:r>
      <w:proofErr w:type="spellEnd"/>
      <w:r w:rsidRPr="00F4251E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F4251E">
        <w:rPr>
          <w:rFonts w:asciiTheme="majorBidi" w:hAnsiTheme="majorBidi" w:cstheme="majorBidi"/>
          <w:sz w:val="24"/>
          <w:szCs w:val="24"/>
        </w:rPr>
        <w:t xml:space="preserve">(92.4%), </w:t>
      </w:r>
      <w:proofErr w:type="spellStart"/>
      <w:r w:rsidR="008104E9" w:rsidRPr="00F4251E">
        <w:rPr>
          <w:rFonts w:asciiTheme="majorBidi" w:hAnsiTheme="majorBidi" w:cstheme="majorBidi"/>
          <w:i/>
          <w:iCs/>
          <w:sz w:val="24"/>
          <w:szCs w:val="24"/>
        </w:rPr>
        <w:t>dfr</w:t>
      </w:r>
      <w:proofErr w:type="spellEnd"/>
      <w:r w:rsidR="008104E9" w:rsidRPr="00F4251E">
        <w:rPr>
          <w:rFonts w:asciiTheme="majorBidi" w:hAnsiTheme="majorBidi" w:cstheme="majorBidi"/>
          <w:sz w:val="24"/>
          <w:szCs w:val="24"/>
        </w:rPr>
        <w:t xml:space="preserve"> (présents chez 69.2% des souches BLSE+), </w:t>
      </w:r>
      <w:proofErr w:type="spellStart"/>
      <w:r w:rsidRPr="00F4251E">
        <w:rPr>
          <w:rFonts w:asciiTheme="majorBidi" w:hAnsiTheme="majorBidi" w:cstheme="majorBidi"/>
          <w:i/>
          <w:sz w:val="24"/>
          <w:szCs w:val="24"/>
        </w:rPr>
        <w:t>oqxAB</w:t>
      </w:r>
      <w:proofErr w:type="spellEnd"/>
      <w:r w:rsidRPr="00F4251E">
        <w:rPr>
          <w:rFonts w:asciiTheme="majorBidi" w:hAnsiTheme="majorBidi" w:cstheme="majorBidi"/>
          <w:sz w:val="24"/>
          <w:szCs w:val="24"/>
        </w:rPr>
        <w:t xml:space="preserve"> (</w:t>
      </w:r>
      <w:r w:rsidR="006F593F">
        <w:rPr>
          <w:rFonts w:asciiTheme="majorBidi" w:hAnsiTheme="majorBidi" w:cstheme="majorBidi"/>
          <w:sz w:val="24"/>
          <w:szCs w:val="24"/>
        </w:rPr>
        <w:t>85.3</w:t>
      </w:r>
      <w:r w:rsidRPr="00F4251E">
        <w:rPr>
          <w:rFonts w:asciiTheme="majorBidi" w:hAnsiTheme="majorBidi" w:cstheme="majorBidi"/>
          <w:sz w:val="24"/>
          <w:szCs w:val="24"/>
        </w:rPr>
        <w:t>%),</w:t>
      </w:r>
      <w:r w:rsidRPr="00F4251E">
        <w:rPr>
          <w:rFonts w:asciiTheme="majorBidi" w:hAnsiTheme="majorBidi" w:cstheme="majorBidi"/>
          <w:i/>
          <w:sz w:val="24"/>
          <w:szCs w:val="24"/>
        </w:rPr>
        <w:t xml:space="preserve"> </w:t>
      </w:r>
      <w:proofErr w:type="spellStart"/>
      <w:r w:rsidRPr="00F4251E">
        <w:rPr>
          <w:rFonts w:asciiTheme="majorBidi" w:hAnsiTheme="majorBidi" w:cstheme="majorBidi"/>
          <w:i/>
          <w:sz w:val="24"/>
          <w:szCs w:val="24"/>
        </w:rPr>
        <w:t>tetA</w:t>
      </w:r>
      <w:proofErr w:type="spellEnd"/>
      <w:r w:rsidR="00AB0C53" w:rsidRPr="00F4251E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F4251E">
        <w:rPr>
          <w:rFonts w:asciiTheme="majorBidi" w:hAnsiTheme="majorBidi" w:cstheme="majorBidi"/>
          <w:sz w:val="24"/>
          <w:szCs w:val="24"/>
        </w:rPr>
        <w:t xml:space="preserve">(40.6%),  </w:t>
      </w:r>
      <w:r w:rsidRPr="00F4251E">
        <w:rPr>
          <w:rFonts w:asciiTheme="majorBidi" w:hAnsiTheme="majorBidi" w:cstheme="majorBidi"/>
          <w:i/>
          <w:iCs/>
          <w:noProof/>
          <w:sz w:val="24"/>
          <w:szCs w:val="24"/>
        </w:rPr>
        <w:t>aac(6’)-Ib-cr</w:t>
      </w:r>
      <w:r w:rsidRPr="00F4251E">
        <w:rPr>
          <w:rFonts w:asciiTheme="majorBidi" w:hAnsiTheme="majorBidi" w:cstheme="majorBidi"/>
          <w:noProof/>
          <w:sz w:val="24"/>
          <w:szCs w:val="24"/>
        </w:rPr>
        <w:t xml:space="preserve"> (19.7%)</w:t>
      </w:r>
      <w:r w:rsidR="008104E9" w:rsidRPr="00F4251E">
        <w:rPr>
          <w:rFonts w:asciiTheme="majorBidi" w:hAnsiTheme="majorBidi" w:cstheme="majorBidi"/>
          <w:noProof/>
          <w:sz w:val="24"/>
          <w:szCs w:val="24"/>
        </w:rPr>
        <w:t xml:space="preserve"> </w:t>
      </w:r>
      <w:r w:rsidRPr="00F4251E">
        <w:rPr>
          <w:rFonts w:asciiTheme="majorBidi" w:hAnsiTheme="majorBidi" w:cstheme="majorBidi"/>
          <w:sz w:val="24"/>
          <w:szCs w:val="24"/>
        </w:rPr>
        <w:t xml:space="preserve">et </w:t>
      </w:r>
      <w:proofErr w:type="spellStart"/>
      <w:r w:rsidRPr="00F4251E">
        <w:rPr>
          <w:rFonts w:asciiTheme="majorBidi" w:hAnsiTheme="majorBidi" w:cstheme="majorBidi"/>
          <w:i/>
          <w:sz w:val="24"/>
          <w:szCs w:val="24"/>
        </w:rPr>
        <w:t>qnrB</w:t>
      </w:r>
      <w:proofErr w:type="spellEnd"/>
      <w:r w:rsidRPr="00F4251E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F4251E">
        <w:rPr>
          <w:rFonts w:asciiTheme="majorBidi" w:hAnsiTheme="majorBidi" w:cstheme="majorBidi"/>
          <w:sz w:val="24"/>
          <w:szCs w:val="24"/>
        </w:rPr>
        <w:t>(6.6%).</w:t>
      </w:r>
      <w:r w:rsidR="00BA07E4" w:rsidRPr="00F4251E">
        <w:rPr>
          <w:rFonts w:asciiTheme="majorBidi" w:hAnsiTheme="majorBidi" w:cstheme="majorBidi"/>
          <w:sz w:val="24"/>
          <w:szCs w:val="24"/>
        </w:rPr>
        <w:t xml:space="preserve"> </w:t>
      </w:r>
      <w:r w:rsidRPr="00F4251E">
        <w:rPr>
          <w:rFonts w:ascii="Times New Roman" w:hAnsi="Times New Roman" w:cs="Times New Roman"/>
          <w:sz w:val="24"/>
          <w:szCs w:val="24"/>
        </w:rPr>
        <w:t xml:space="preserve">59.2% des souches hébergeaient les intégrons de classe 1. </w:t>
      </w:r>
      <w:r w:rsidR="0084632C" w:rsidRPr="00F4251E">
        <w:rPr>
          <w:rFonts w:asciiTheme="majorBidi" w:hAnsiTheme="majorBidi" w:cstheme="majorBidi"/>
          <w:sz w:val="24"/>
          <w:szCs w:val="24"/>
        </w:rPr>
        <w:t xml:space="preserve">Les souches MDR contenaient en moyenne plus de facteurs de virulence (soient 9,39 vs 8,91, </w:t>
      </w:r>
      <w:r w:rsidR="0084632C" w:rsidRPr="00F4251E">
        <w:rPr>
          <w:rFonts w:asciiTheme="majorBidi" w:hAnsiTheme="majorBidi" w:cstheme="majorBidi"/>
          <w:i/>
          <w:iCs/>
          <w:sz w:val="24"/>
          <w:szCs w:val="24"/>
        </w:rPr>
        <w:t>P</w:t>
      </w:r>
      <w:r w:rsidR="0084632C" w:rsidRPr="00F4251E">
        <w:rPr>
          <w:rFonts w:asciiTheme="majorBidi" w:hAnsiTheme="majorBidi" w:cstheme="majorBidi"/>
          <w:sz w:val="24"/>
          <w:szCs w:val="24"/>
        </w:rPr>
        <w:t>=0.003) que les souches non MDR.</w:t>
      </w:r>
      <w:r w:rsidR="009D6937" w:rsidRPr="00F4251E">
        <w:rPr>
          <w:rFonts w:asciiTheme="majorBidi" w:hAnsiTheme="majorBidi" w:cstheme="majorBidi"/>
          <w:sz w:val="24"/>
          <w:szCs w:val="24"/>
        </w:rPr>
        <w:t xml:space="preserve"> Aucun lien génétique entre les déterminants de virulence et de BLSE, n’a été mis en évidence. Aucune différence dans la capacité à </w:t>
      </w:r>
      <w:r w:rsidR="009D6937" w:rsidRPr="00F4251E">
        <w:rPr>
          <w:rFonts w:ascii="Times New Roman" w:hAnsi="Times New Roman" w:cs="Times New Roman"/>
          <w:sz w:val="24"/>
          <w:szCs w:val="24"/>
        </w:rPr>
        <w:t xml:space="preserve">former un biofilm et dans la résistance au sérum n’a été mise en évidence entre les souches parentales BLSE+ et leurs dérivées curées BLSE-. </w:t>
      </w:r>
    </w:p>
    <w:p w:rsidR="00423A59" w:rsidRPr="00F4251E" w:rsidRDefault="00423A59" w:rsidP="0072129D">
      <w:pPr>
        <w:spacing w:beforeLines="120" w:before="288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4251E">
        <w:rPr>
          <w:rFonts w:ascii="Times New Roman" w:hAnsi="Times New Roman" w:cs="Times New Roman"/>
          <w:iCs/>
          <w:sz w:val="24"/>
          <w:szCs w:val="24"/>
        </w:rPr>
        <w:t xml:space="preserve">L’étude a montré la présence de divers facteurs de virulence chez les souches cliniques de </w:t>
      </w:r>
      <w:r w:rsidRPr="00F4251E">
        <w:rPr>
          <w:rFonts w:ascii="Times New Roman" w:hAnsi="Times New Roman" w:cs="Times New Roman"/>
          <w:i/>
          <w:iCs/>
          <w:sz w:val="24"/>
          <w:szCs w:val="24"/>
        </w:rPr>
        <w:t xml:space="preserve">K. </w:t>
      </w:r>
      <w:proofErr w:type="spellStart"/>
      <w:r w:rsidRPr="00F4251E">
        <w:rPr>
          <w:rFonts w:ascii="Times New Roman" w:hAnsi="Times New Roman" w:cs="Times New Roman"/>
          <w:i/>
          <w:iCs/>
          <w:sz w:val="24"/>
          <w:szCs w:val="24"/>
        </w:rPr>
        <w:t>pneumoniae</w:t>
      </w:r>
      <w:proofErr w:type="spellEnd"/>
      <w:r w:rsidRPr="00F4251E">
        <w:rPr>
          <w:rFonts w:ascii="Times New Roman" w:hAnsi="Times New Roman" w:cs="Times New Roman"/>
          <w:iCs/>
          <w:sz w:val="24"/>
          <w:szCs w:val="24"/>
        </w:rPr>
        <w:t xml:space="preserve"> y compris ceux impliqués dans l’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invasivité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</w:t>
      </w:r>
      <w:r w:rsidR="009D6937" w:rsidRPr="00F4251E">
        <w:rPr>
          <w:rFonts w:ascii="Times New Roman" w:hAnsi="Times New Roman" w:cs="Times New Roman"/>
          <w:sz w:val="24"/>
          <w:szCs w:val="24"/>
        </w:rPr>
        <w:t>et l’</w:t>
      </w:r>
      <w:proofErr w:type="spellStart"/>
      <w:r w:rsidR="009D6937" w:rsidRPr="00F4251E">
        <w:rPr>
          <w:rFonts w:ascii="Times New Roman" w:hAnsi="Times New Roman" w:cs="Times New Roman"/>
          <w:sz w:val="24"/>
          <w:szCs w:val="24"/>
        </w:rPr>
        <w:t>hypervirulence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85F17" w:rsidRPr="00F4251E">
        <w:rPr>
          <w:rFonts w:ascii="Times New Roman" w:hAnsi="Times New Roman" w:cs="Times New Roman"/>
          <w:sz w:val="24"/>
          <w:szCs w:val="24"/>
        </w:rPr>
        <w:t>aérobactine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F17" w:rsidRPr="00F4251E">
        <w:rPr>
          <w:rFonts w:ascii="Times New Roman" w:hAnsi="Times New Roman" w:cs="Times New Roman"/>
          <w:sz w:val="24"/>
          <w:szCs w:val="24"/>
        </w:rPr>
        <w:t>yersiniabactine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 xml:space="preserve">, récepteur des </w:t>
      </w:r>
      <w:proofErr w:type="spellStart"/>
      <w:r w:rsidR="00885F17" w:rsidRPr="00F4251E">
        <w:rPr>
          <w:rFonts w:ascii="Times New Roman" w:hAnsi="Times New Roman" w:cs="Times New Roman"/>
          <w:sz w:val="24"/>
          <w:szCs w:val="24"/>
        </w:rPr>
        <w:t>catécholes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 xml:space="preserve">, facteur </w:t>
      </w:r>
      <w:proofErr w:type="spellStart"/>
      <w:r w:rsidR="00885F17" w:rsidRPr="00F4251E">
        <w:rPr>
          <w:rFonts w:ascii="Times New Roman" w:hAnsi="Times New Roman" w:cs="Times New Roman"/>
          <w:sz w:val="24"/>
          <w:szCs w:val="24"/>
        </w:rPr>
        <w:t>mucoïde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="00885F17" w:rsidRPr="00F4251E">
        <w:rPr>
          <w:rFonts w:ascii="Times New Roman" w:hAnsi="Times New Roman" w:cs="Times New Roman"/>
          <w:sz w:val="24"/>
          <w:szCs w:val="24"/>
        </w:rPr>
        <w:t>hypermucoviscosité</w:t>
      </w:r>
      <w:proofErr w:type="spellEnd"/>
      <w:r w:rsidR="00885F17" w:rsidRPr="00F4251E">
        <w:rPr>
          <w:rFonts w:ascii="Times New Roman" w:hAnsi="Times New Roman" w:cs="Times New Roman"/>
          <w:sz w:val="24"/>
          <w:szCs w:val="24"/>
        </w:rPr>
        <w:t>)</w:t>
      </w:r>
      <w:r w:rsidRPr="00F4251E">
        <w:rPr>
          <w:rFonts w:ascii="Times New Roman" w:hAnsi="Times New Roman" w:cs="Times New Roman"/>
          <w:sz w:val="24"/>
          <w:szCs w:val="24"/>
        </w:rPr>
        <w:t xml:space="preserve">. Ceux-ci constituent une menace pour les populations vulnérables, plus encore associés à la </w:t>
      </w:r>
      <w:proofErr w:type="spellStart"/>
      <w:r w:rsidRPr="00F4251E">
        <w:rPr>
          <w:rFonts w:ascii="Times New Roman" w:hAnsi="Times New Roman" w:cs="Times New Roman"/>
          <w:sz w:val="24"/>
          <w:szCs w:val="24"/>
        </w:rPr>
        <w:t>multirésistance</w:t>
      </w:r>
      <w:proofErr w:type="spellEnd"/>
      <w:r w:rsidRPr="00F4251E">
        <w:rPr>
          <w:rFonts w:ascii="Times New Roman" w:hAnsi="Times New Roman" w:cs="Times New Roman"/>
          <w:sz w:val="24"/>
          <w:szCs w:val="24"/>
        </w:rPr>
        <w:t xml:space="preserve"> aux antibiotiques.</w:t>
      </w:r>
    </w:p>
    <w:sectPr w:rsidR="00423A59" w:rsidRPr="00F4251E" w:rsidSect="007A226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3D27" w:rsidRDefault="00743D27" w:rsidP="00423A59">
      <w:pPr>
        <w:spacing w:after="0"/>
      </w:pPr>
      <w:r>
        <w:separator/>
      </w:r>
    </w:p>
  </w:endnote>
  <w:endnote w:type="continuationSeparator" w:id="0">
    <w:p w:rsidR="00743D27" w:rsidRDefault="00743D27" w:rsidP="00423A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3D27" w:rsidRDefault="00743D27" w:rsidP="00423A59">
      <w:pPr>
        <w:spacing w:after="0"/>
      </w:pPr>
      <w:r>
        <w:separator/>
      </w:r>
    </w:p>
  </w:footnote>
  <w:footnote w:type="continuationSeparator" w:id="0">
    <w:p w:rsidR="00743D27" w:rsidRDefault="00743D27" w:rsidP="00423A5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A59" w:rsidRDefault="00423A59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3A59"/>
    <w:rsid w:val="0002054F"/>
    <w:rsid w:val="000244D5"/>
    <w:rsid w:val="000A5CD3"/>
    <w:rsid w:val="000B256A"/>
    <w:rsid w:val="001245BC"/>
    <w:rsid w:val="00145464"/>
    <w:rsid w:val="0019429C"/>
    <w:rsid w:val="0019560D"/>
    <w:rsid w:val="002870A2"/>
    <w:rsid w:val="002C3571"/>
    <w:rsid w:val="002F45F8"/>
    <w:rsid w:val="003133CD"/>
    <w:rsid w:val="003A7221"/>
    <w:rsid w:val="00414798"/>
    <w:rsid w:val="00423A59"/>
    <w:rsid w:val="00517025"/>
    <w:rsid w:val="00563EBD"/>
    <w:rsid w:val="00645E02"/>
    <w:rsid w:val="00653DDC"/>
    <w:rsid w:val="006F593F"/>
    <w:rsid w:val="006F5DDB"/>
    <w:rsid w:val="0072129D"/>
    <w:rsid w:val="00743D27"/>
    <w:rsid w:val="007500A8"/>
    <w:rsid w:val="00796B4E"/>
    <w:rsid w:val="007A2261"/>
    <w:rsid w:val="008104E9"/>
    <w:rsid w:val="008140DE"/>
    <w:rsid w:val="0084632C"/>
    <w:rsid w:val="00885F17"/>
    <w:rsid w:val="009037D0"/>
    <w:rsid w:val="009D6937"/>
    <w:rsid w:val="00A01906"/>
    <w:rsid w:val="00AB0C53"/>
    <w:rsid w:val="00AD1A43"/>
    <w:rsid w:val="00B81A38"/>
    <w:rsid w:val="00BA07E4"/>
    <w:rsid w:val="00C33481"/>
    <w:rsid w:val="00C40875"/>
    <w:rsid w:val="00D653BA"/>
    <w:rsid w:val="00D91A93"/>
    <w:rsid w:val="00E16541"/>
    <w:rsid w:val="00E168D2"/>
    <w:rsid w:val="00E366A3"/>
    <w:rsid w:val="00EB1BCB"/>
    <w:rsid w:val="00F4251E"/>
    <w:rsid w:val="00FF10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D77D0C-C686-42C7-9CA3-1B320083D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3A59"/>
    <w:pPr>
      <w:spacing w:after="120" w:line="240" w:lineRule="auto"/>
      <w:jc w:val="center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23A59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rsid w:val="00423A59"/>
  </w:style>
  <w:style w:type="paragraph" w:styleId="Pieddepage">
    <w:name w:val="footer"/>
    <w:basedOn w:val="Normal"/>
    <w:link w:val="PieddepageCar"/>
    <w:uiPriority w:val="99"/>
    <w:semiHidden/>
    <w:unhideWhenUsed/>
    <w:rsid w:val="00423A59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23A59"/>
  </w:style>
  <w:style w:type="paragraph" w:styleId="Textedebulles">
    <w:name w:val="Balloon Text"/>
    <w:basedOn w:val="Normal"/>
    <w:link w:val="TextedebullesCar"/>
    <w:uiPriority w:val="99"/>
    <w:semiHidden/>
    <w:unhideWhenUsed/>
    <w:rsid w:val="00423A59"/>
    <w:pPr>
      <w:spacing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23A59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9D693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D6937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D6937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D693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D69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586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</dc:creator>
  <cp:lastModifiedBy>naima</cp:lastModifiedBy>
  <cp:revision>18</cp:revision>
  <dcterms:created xsi:type="dcterms:W3CDTF">2016-12-09T23:16:00Z</dcterms:created>
  <dcterms:modified xsi:type="dcterms:W3CDTF">2018-05-17T10:32:00Z</dcterms:modified>
</cp:coreProperties>
</file>