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1FA" w:rsidRPr="007551A9" w:rsidRDefault="008341FA" w:rsidP="008341FA">
      <w:pPr>
        <w:pStyle w:val="Sansinterligne"/>
        <w:ind w:firstLine="0"/>
        <w:rPr>
          <w:b/>
          <w:bCs/>
        </w:rPr>
      </w:pPr>
      <w:r w:rsidRPr="007551A9">
        <w:rPr>
          <w:b/>
          <w:bCs/>
        </w:rPr>
        <w:t>Résumé</w:t>
      </w:r>
    </w:p>
    <w:p w:rsidR="008341FA" w:rsidRDefault="008341FA" w:rsidP="008341FA">
      <w:pPr>
        <w:pStyle w:val="Sansinterligne"/>
      </w:pP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 w:rsidRPr="004C0C87">
        <w:rPr>
          <w:rFonts w:ascii="Times New Roman" w:hAnsi="Times New Roman" w:cs="Times New Roman"/>
        </w:rPr>
        <w:t xml:space="preserve">La </w:t>
      </w:r>
      <w:proofErr w:type="spellStart"/>
      <w:r>
        <w:rPr>
          <w:rFonts w:ascii="Times New Roman" w:hAnsi="Times New Roman" w:cs="Times New Roman"/>
          <w:u w:val="single"/>
        </w:rPr>
        <w:t>t</w:t>
      </w:r>
      <w:r>
        <w:rPr>
          <w:rFonts w:ascii="Times New Roman" w:hAnsi="Times New Roman" w:cs="Times New Roman"/>
        </w:rPr>
        <w:t>rans</w:t>
      </w:r>
      <w:r>
        <w:rPr>
          <w:rFonts w:ascii="Times New Roman" w:hAnsi="Times New Roman" w:cs="Times New Roman"/>
          <w:u w:val="single"/>
        </w:rPr>
        <w:t>g</w:t>
      </w:r>
      <w:r>
        <w:rPr>
          <w:rFonts w:ascii="Times New Roman" w:hAnsi="Times New Roman" w:cs="Times New Roman"/>
        </w:rPr>
        <w:t>lutaminase</w:t>
      </w:r>
      <w:proofErr w:type="spellEnd"/>
      <w:r>
        <w:rPr>
          <w:rFonts w:ascii="Times New Roman" w:hAnsi="Times New Roman" w:cs="Times New Roman"/>
        </w:rPr>
        <w:t xml:space="preserve"> </w:t>
      </w:r>
      <w:r w:rsidRPr="00BE1867">
        <w:rPr>
          <w:rFonts w:ascii="Times New Roman" w:hAnsi="Times New Roman" w:cs="Times New Roman"/>
          <w:u w:val="single"/>
        </w:rPr>
        <w:t>t</w:t>
      </w:r>
      <w:r>
        <w:rPr>
          <w:rFonts w:ascii="Times New Roman" w:hAnsi="Times New Roman" w:cs="Times New Roman"/>
        </w:rPr>
        <w:t>issulaire (</w:t>
      </w:r>
      <w:proofErr w:type="spellStart"/>
      <w:r w:rsidRPr="004C0C87"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) est une enzyme intracellulaire monomérique de PM apparent de 83 </w:t>
      </w:r>
      <w:proofErr w:type="spellStart"/>
      <w:r>
        <w:rPr>
          <w:rFonts w:ascii="Times New Roman" w:hAnsi="Times New Roman" w:cs="Times New Roman"/>
        </w:rPr>
        <w:t>kDa</w:t>
      </w:r>
      <w:proofErr w:type="spellEnd"/>
      <w:r>
        <w:rPr>
          <w:rFonts w:ascii="Times New Roman" w:hAnsi="Times New Roman" w:cs="Times New Roman"/>
        </w:rPr>
        <w:t xml:space="preserve"> et de </w:t>
      </w:r>
      <w:proofErr w:type="spellStart"/>
      <w:r>
        <w:rPr>
          <w:rFonts w:ascii="Times New Roman" w:hAnsi="Times New Roman" w:cs="Times New Roman"/>
        </w:rPr>
        <w:t>pHi</w:t>
      </w:r>
      <w:proofErr w:type="spellEnd"/>
      <w:r>
        <w:rPr>
          <w:rFonts w:ascii="Times New Roman" w:hAnsi="Times New Roman" w:cs="Times New Roman"/>
        </w:rPr>
        <w:t xml:space="preserve"> 5-6. Sa purification à partir du foie de cobaye pour son utilisation dans le diagnostic de la maladie cœliaque a nécessité différentes étapes d’optimisation en raison de son haut pouvoir agrégeant.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Pour l’extraction de la </w:t>
      </w:r>
      <w:proofErr w:type="spellStart"/>
      <w:r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 par ultracentrifugation, deux vitesses sont testées et nous avons montré qu’à 45000 </w:t>
      </w:r>
      <w:proofErr w:type="spellStart"/>
      <w:r>
        <w:rPr>
          <w:rFonts w:ascii="Times New Roman" w:hAnsi="Times New Roman" w:cs="Times New Roman"/>
        </w:rPr>
        <w:t>trs</w:t>
      </w:r>
      <w:proofErr w:type="spellEnd"/>
      <w:r>
        <w:rPr>
          <w:rFonts w:ascii="Times New Roman" w:hAnsi="Times New Roman" w:cs="Times New Roman"/>
        </w:rPr>
        <w:t>/min, nous obtenons un extrait protéique avec un rendement de 42.25%.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extraits protéiques ainsi obtenus sont soumis à différents procédés de concentration : la précipitation par le sulfate d’ammonium ; la lyophilisation et l’ultrafiltration sur tubes Millipore. Parmi les trois procédés utilisés, l’ultrafiltration a permis de concentrer les protéines présentes dans nos échantillons, contrairement aux deux premiers qui ont engendré des pertes importantes en protéines. 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 purification de la </w:t>
      </w:r>
      <w:proofErr w:type="spellStart"/>
      <w:r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 est réalisée par chromatographie échangeuse d’anions sur DEAE-52 avec un gradient de </w:t>
      </w:r>
      <w:proofErr w:type="spellStart"/>
      <w:r>
        <w:rPr>
          <w:rFonts w:ascii="Times New Roman" w:hAnsi="Times New Roman" w:cs="Times New Roman"/>
        </w:rPr>
        <w:t>NaCl</w:t>
      </w:r>
      <w:proofErr w:type="spellEnd"/>
      <w:r>
        <w:rPr>
          <w:rFonts w:ascii="Times New Roman" w:hAnsi="Times New Roman" w:cs="Times New Roman"/>
        </w:rPr>
        <w:t xml:space="preserve"> ; le contrôle par SDS-PAGE, de la pureté du pic correspondant  à la </w:t>
      </w:r>
      <w:proofErr w:type="spellStart"/>
      <w:r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 montre en plus de la présence d’une bande protéique de PM apparent de 83 </w:t>
      </w:r>
      <w:proofErr w:type="spellStart"/>
      <w:r>
        <w:rPr>
          <w:rFonts w:ascii="Times New Roman" w:hAnsi="Times New Roman" w:cs="Times New Roman"/>
        </w:rPr>
        <w:t>kDa</w:t>
      </w:r>
      <w:proofErr w:type="spellEnd"/>
      <w:r>
        <w:rPr>
          <w:rFonts w:ascii="Times New Roman" w:hAnsi="Times New Roman" w:cs="Times New Roman"/>
        </w:rPr>
        <w:t xml:space="preserve"> correspondant à la </w:t>
      </w:r>
      <w:proofErr w:type="spellStart"/>
      <w:r>
        <w:rPr>
          <w:rFonts w:ascii="Times New Roman" w:hAnsi="Times New Roman" w:cs="Times New Roman"/>
        </w:rPr>
        <w:t>transglutaminase</w:t>
      </w:r>
      <w:proofErr w:type="spellEnd"/>
      <w:r>
        <w:rPr>
          <w:rFonts w:ascii="Times New Roman" w:hAnsi="Times New Roman" w:cs="Times New Roman"/>
        </w:rPr>
        <w:t>, la présence de deux bandes protéiques supplémentaires.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 autre échangeur anionique, le DEAE microcristalline est utilisé pour la purification de la </w:t>
      </w:r>
      <w:proofErr w:type="spellStart"/>
      <w:r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 ; les résultats obtenus montrent que sur DEAE microcristalline, l’enzyme est purifiée à avec un degré de pureté élevé. En effet, l’analyse par SDS-PAGE des fractions correspondant à la </w:t>
      </w:r>
      <w:proofErr w:type="spellStart"/>
      <w:r>
        <w:rPr>
          <w:rFonts w:ascii="Times New Roman" w:hAnsi="Times New Roman" w:cs="Times New Roman"/>
        </w:rPr>
        <w:t>tTG</w:t>
      </w:r>
      <w:proofErr w:type="spellEnd"/>
      <w:r>
        <w:rPr>
          <w:rFonts w:ascii="Times New Roman" w:hAnsi="Times New Roman" w:cs="Times New Roman"/>
        </w:rPr>
        <w:t xml:space="preserve"> montre la présence d’une seule bande protéique de 83 </w:t>
      </w:r>
      <w:proofErr w:type="spellStart"/>
      <w:r>
        <w:rPr>
          <w:rFonts w:ascii="Times New Roman" w:hAnsi="Times New Roman" w:cs="Times New Roman"/>
        </w:rPr>
        <w:t>kDa</w:t>
      </w:r>
      <w:proofErr w:type="spellEnd"/>
      <w:r>
        <w:rPr>
          <w:rFonts w:ascii="Times New Roman" w:hAnsi="Times New Roman" w:cs="Times New Roman"/>
        </w:rPr>
        <w:t xml:space="preserve"> correspondant à la </w:t>
      </w:r>
      <w:proofErr w:type="spellStart"/>
      <w:r>
        <w:rPr>
          <w:rFonts w:ascii="Times New Roman" w:hAnsi="Times New Roman" w:cs="Times New Roman"/>
        </w:rPr>
        <w:t>transglutaminase</w:t>
      </w:r>
      <w:proofErr w:type="spellEnd"/>
      <w:r>
        <w:rPr>
          <w:rFonts w:ascii="Times New Roman" w:hAnsi="Times New Roman" w:cs="Times New Roman"/>
        </w:rPr>
        <w:t xml:space="preserve"> tissulaire.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Les différentes fractions ainsi obtenues ont permis de mettre en évidence la présence d’auto-</w:t>
      </w:r>
      <w:proofErr w:type="spellStart"/>
      <w:r>
        <w:rPr>
          <w:rFonts w:ascii="Times New Roman" w:hAnsi="Times New Roman" w:cs="Times New Roman"/>
        </w:rPr>
        <w:t>Ac</w:t>
      </w:r>
      <w:proofErr w:type="spellEnd"/>
      <w:r>
        <w:rPr>
          <w:rFonts w:ascii="Times New Roman" w:hAnsi="Times New Roman" w:cs="Times New Roman"/>
        </w:rPr>
        <w:t xml:space="preserve"> dans le sérum de malades cœliaques par ELISA.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DEAE-microcristalline s’avère un échangeur anionique efficace pour la purification de la </w:t>
      </w:r>
      <w:proofErr w:type="spellStart"/>
      <w:r>
        <w:rPr>
          <w:rFonts w:ascii="Times New Roman" w:hAnsi="Times New Roman" w:cs="Times New Roman"/>
        </w:rPr>
        <w:t>transglutaminase</w:t>
      </w:r>
      <w:proofErr w:type="spellEnd"/>
      <w:r>
        <w:rPr>
          <w:rFonts w:ascii="Times New Roman" w:hAnsi="Times New Roman" w:cs="Times New Roman"/>
        </w:rPr>
        <w:t xml:space="preserve"> tissulaire à partir de foie de cobaye.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</w:p>
    <w:p w:rsidR="008341FA" w:rsidRPr="008F54BF" w:rsidRDefault="008341FA" w:rsidP="008341FA">
      <w:pPr>
        <w:spacing w:line="240" w:lineRule="auto"/>
        <w:rPr>
          <w:b/>
          <w:bCs/>
          <w:color w:val="000000"/>
          <w:lang w:bidi="ar-DZ"/>
        </w:rPr>
      </w:pPr>
      <w:r w:rsidRPr="008F54BF">
        <w:rPr>
          <w:b/>
          <w:bCs/>
          <w:color w:val="000000"/>
          <w:lang w:bidi="ar-DZ"/>
        </w:rPr>
        <w:t>Mots clé</w:t>
      </w:r>
      <w:r>
        <w:rPr>
          <w:b/>
          <w:bCs/>
          <w:color w:val="000000"/>
          <w:lang w:bidi="ar-DZ"/>
        </w:rPr>
        <w:t>s</w:t>
      </w:r>
      <w:r w:rsidRPr="008F54BF">
        <w:rPr>
          <w:b/>
          <w:bCs/>
          <w:color w:val="000000"/>
          <w:lang w:bidi="ar-DZ"/>
        </w:rPr>
        <w:t xml:space="preserve"> </w:t>
      </w: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</w:p>
    <w:p w:rsidR="008341FA" w:rsidRDefault="008341FA" w:rsidP="008341F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proofErr w:type="gramStart"/>
      <w:r>
        <w:rPr>
          <w:rFonts w:ascii="Times New Roman" w:hAnsi="Times New Roman" w:cs="Times New Roman"/>
        </w:rPr>
        <w:t>Purification ,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transglutaminase</w:t>
      </w:r>
      <w:proofErr w:type="spellEnd"/>
      <w:r>
        <w:rPr>
          <w:rFonts w:ascii="Times New Roman" w:hAnsi="Times New Roman" w:cs="Times New Roman"/>
        </w:rPr>
        <w:t xml:space="preserve"> tissulaire, foie de cobaye -Maladie cœliaque -</w:t>
      </w:r>
      <w:proofErr w:type="spellStart"/>
      <w:r>
        <w:rPr>
          <w:rFonts w:ascii="Times New Roman" w:hAnsi="Times New Roman" w:cs="Times New Roman"/>
        </w:rPr>
        <w:t>autoanticorps</w:t>
      </w:r>
      <w:proofErr w:type="spellEnd"/>
      <w:r>
        <w:rPr>
          <w:rFonts w:ascii="Times New Roman" w:hAnsi="Times New Roman" w:cs="Times New Roman"/>
        </w:rPr>
        <w:t xml:space="preserve"> antitransglutaminase-DEAE-microcristalline-Diafiltration-Ulltracentrifugation.</w:t>
      </w:r>
    </w:p>
    <w:p w:rsidR="008341FA" w:rsidRDefault="008341FA" w:rsidP="008341FA">
      <w:pPr>
        <w:ind w:right="45"/>
        <w:rPr>
          <w:rFonts w:ascii="Times New Roman" w:hAnsi="Times New Roman" w:cs="Times New Roman"/>
          <w:b/>
          <w:bCs/>
          <w:sz w:val="32"/>
          <w:szCs w:val="32"/>
        </w:rPr>
      </w:pPr>
    </w:p>
    <w:p w:rsidR="00E13B7C" w:rsidRDefault="00E13B7C"/>
    <w:sectPr w:rsidR="00E13B7C" w:rsidSect="00E13B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41FA"/>
    <w:rsid w:val="008341FA"/>
    <w:rsid w:val="00E13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41FA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341FA"/>
    <w:pPr>
      <w:widowControl w:val="0"/>
      <w:autoSpaceDE w:val="0"/>
      <w:autoSpaceDN w:val="0"/>
      <w:spacing w:after="0" w:line="240" w:lineRule="auto"/>
      <w:ind w:firstLine="648"/>
      <w:jc w:val="both"/>
    </w:pPr>
    <w:rPr>
      <w:rFonts w:ascii="Times New Roman" w:eastAsia="Calibri" w:hAnsi="Times New Roman" w:cs="Times New Roman"/>
      <w:spacing w:val="-4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1810</Characters>
  <Application>Microsoft Office Word</Application>
  <DocSecurity>0</DocSecurity>
  <Lines>15</Lines>
  <Paragraphs>4</Paragraphs>
  <ScaleCrop>false</ScaleCrop>
  <Company>FS</Company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2012-02-08T13:27:00Z</dcterms:created>
  <dcterms:modified xsi:type="dcterms:W3CDTF">2012-02-08T13:27:00Z</dcterms:modified>
</cp:coreProperties>
</file>