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6760" w:rsidRDefault="00136760" w:rsidP="006127BC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36760" w:rsidRDefault="00136760" w:rsidP="006127BC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60D64" w:rsidRPr="002475FE" w:rsidRDefault="00060D64" w:rsidP="006127BC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475FE">
        <w:rPr>
          <w:rFonts w:ascii="Times New Roman" w:hAnsi="Times New Roman" w:cs="Times New Roman"/>
          <w:b/>
          <w:sz w:val="32"/>
          <w:szCs w:val="32"/>
        </w:rPr>
        <w:t>Résumé</w:t>
      </w:r>
    </w:p>
    <w:p w:rsidR="0043107A" w:rsidRPr="002475FE" w:rsidRDefault="0043107A" w:rsidP="002475FE">
      <w:pPr>
        <w:spacing w:before="100" w:beforeAutospacing="1" w:after="100" w:afterAutospacing="1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2475FE">
        <w:rPr>
          <w:rFonts w:ascii="Times New Roman" w:hAnsi="Times New Roman" w:cs="Times New Roman"/>
          <w:sz w:val="24"/>
          <w:szCs w:val="24"/>
        </w:rPr>
        <w:t>Les dose</w:t>
      </w:r>
      <w:r w:rsidR="002475FE" w:rsidRPr="002475FE">
        <w:rPr>
          <w:rFonts w:ascii="Times New Roman" w:hAnsi="Times New Roman" w:cs="Times New Roman"/>
          <w:sz w:val="24"/>
          <w:szCs w:val="24"/>
        </w:rPr>
        <w:t>s</w:t>
      </w:r>
      <w:r w:rsidRPr="002475FE">
        <w:rPr>
          <w:rFonts w:ascii="Times New Roman" w:hAnsi="Times New Roman" w:cs="Times New Roman"/>
          <w:sz w:val="24"/>
          <w:szCs w:val="24"/>
        </w:rPr>
        <w:t xml:space="preserve"> 100 et 500 µM de </w:t>
      </w:r>
      <w:proofErr w:type="spellStart"/>
      <w:r w:rsidRPr="002475FE">
        <w:rPr>
          <w:rFonts w:ascii="Times New Roman" w:hAnsi="Times New Roman" w:cs="Times New Roman"/>
          <w:sz w:val="24"/>
          <w:szCs w:val="24"/>
        </w:rPr>
        <w:t>prométryne</w:t>
      </w:r>
      <w:proofErr w:type="spellEnd"/>
      <w:r w:rsidRPr="002475FE">
        <w:rPr>
          <w:rFonts w:ascii="Times New Roman" w:hAnsi="Times New Roman" w:cs="Times New Roman"/>
          <w:sz w:val="24"/>
          <w:szCs w:val="24"/>
        </w:rPr>
        <w:t xml:space="preserve"> </w:t>
      </w:r>
      <w:r w:rsidRPr="002475FE">
        <w:rPr>
          <w:rFonts w:ascii="Times New Roman" w:eastAsia="Calibri" w:hAnsi="Times New Roman" w:cs="Times New Roman"/>
          <w:sz w:val="24"/>
          <w:szCs w:val="24"/>
        </w:rPr>
        <w:t xml:space="preserve">provoquent une diminution de la croissance des plantules de haricot, </w:t>
      </w:r>
      <w:r w:rsidR="00476404" w:rsidRPr="002475FE">
        <w:rPr>
          <w:rFonts w:ascii="Times New Roman" w:eastAsia="Calibri" w:hAnsi="Times New Roman" w:cs="Times New Roman"/>
          <w:sz w:val="24"/>
          <w:szCs w:val="24"/>
        </w:rPr>
        <w:t xml:space="preserve">une inhibition de l'activité photosynthétique, une augmentation de la teneur en MDA ainsi qu'une forte hausse de la libération d'électrolytes. Ce résultat est étayé par une coloration histochimique par </w:t>
      </w:r>
      <w:r w:rsidR="00476404" w:rsidRPr="002475FE">
        <w:rPr>
          <w:rFonts w:ascii="Times New Roman" w:hAnsi="Times New Roman" w:cs="Times New Roman"/>
          <w:sz w:val="24"/>
          <w:szCs w:val="24"/>
        </w:rPr>
        <w:t xml:space="preserve">le </w:t>
      </w:r>
      <w:r w:rsidR="00476404" w:rsidRPr="002475FE">
        <w:rPr>
          <w:rFonts w:ascii="Times New Roman" w:eastAsia="Calibri" w:hAnsi="Times New Roman" w:cs="Times New Roman"/>
          <w:sz w:val="24"/>
          <w:szCs w:val="24"/>
        </w:rPr>
        <w:t xml:space="preserve">DAB et </w:t>
      </w:r>
      <w:r w:rsidR="00476404" w:rsidRPr="002475FE">
        <w:rPr>
          <w:rFonts w:ascii="Times New Roman" w:hAnsi="Times New Roman" w:cs="Times New Roman"/>
          <w:sz w:val="24"/>
          <w:szCs w:val="24"/>
        </w:rPr>
        <w:t>le NBT qui montre une forte accumulation de H</w:t>
      </w:r>
      <w:r w:rsidR="00476404" w:rsidRPr="002475F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76404" w:rsidRPr="002475FE">
        <w:rPr>
          <w:rFonts w:ascii="Times New Roman" w:hAnsi="Times New Roman" w:cs="Times New Roman"/>
          <w:sz w:val="24"/>
          <w:szCs w:val="24"/>
        </w:rPr>
        <w:t>O</w:t>
      </w:r>
      <w:r w:rsidR="00476404" w:rsidRPr="002475F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76404" w:rsidRPr="002475FE">
        <w:rPr>
          <w:rFonts w:ascii="Times New Roman" w:hAnsi="Times New Roman" w:cs="Times New Roman"/>
          <w:sz w:val="24"/>
          <w:szCs w:val="24"/>
        </w:rPr>
        <w:t xml:space="preserve"> et d’</w:t>
      </w:r>
      <w:r w:rsidR="00476404" w:rsidRPr="002475FE">
        <w:rPr>
          <w:rFonts w:ascii="Times New Roman" w:eastAsia="Times New Roman" w:hAnsi="Times New Roman" w:cs="Times New Roman"/>
          <w:sz w:val="24"/>
          <w:szCs w:val="24"/>
        </w:rPr>
        <w:t>O</w:t>
      </w:r>
      <w:r w:rsidR="00476404" w:rsidRPr="002475FE">
        <w:rPr>
          <w:rFonts w:ascii="Times New Roman" w:eastAsia="Times New Roman" w:hAnsi="Times New Roman" w:cs="Times New Roman"/>
          <w:sz w:val="24"/>
          <w:szCs w:val="24"/>
          <w:vertAlign w:val="subscript"/>
        </w:rPr>
        <w:t>2</w:t>
      </w:r>
      <w:r w:rsidR="00476404" w:rsidRPr="002475F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-</w:t>
      </w:r>
      <w:r w:rsidR="005D0DB0" w:rsidRPr="002475FE">
        <w:rPr>
          <w:rFonts w:ascii="Times New Roman" w:hAnsi="Times New Roman" w:cs="Times New Roman"/>
          <w:sz w:val="24"/>
          <w:szCs w:val="24"/>
        </w:rPr>
        <w:t>.</w:t>
      </w:r>
      <w:r w:rsidR="00476404" w:rsidRPr="002475F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76404" w:rsidRPr="002475FE">
        <w:rPr>
          <w:rFonts w:ascii="Times New Roman" w:hAnsi="Times New Roman" w:cs="Times New Roman"/>
          <w:sz w:val="24"/>
          <w:szCs w:val="24"/>
        </w:rPr>
        <w:t>Le glutathion réduit diminue sous l’effet des doses 10 et 100 µM mais il augmente</w:t>
      </w:r>
      <w:r w:rsidR="005D0DB0" w:rsidRPr="002475FE">
        <w:rPr>
          <w:rFonts w:ascii="Times New Roman" w:hAnsi="Times New Roman" w:cs="Times New Roman"/>
          <w:sz w:val="24"/>
          <w:szCs w:val="24"/>
        </w:rPr>
        <w:t xml:space="preserve"> à la forte dose (500 µM). La proline, s’élève substantiellement par les doses 100 et 500 µM. </w:t>
      </w:r>
      <w:r w:rsidR="005D0DB0" w:rsidRPr="002475FE">
        <w:rPr>
          <w:rFonts w:ascii="Times New Roman" w:eastAsia="Calibri" w:hAnsi="Times New Roman" w:cs="Times New Roman"/>
          <w:sz w:val="24"/>
          <w:szCs w:val="24"/>
        </w:rPr>
        <w:t xml:space="preserve">Les gènes du métabolisme de proline </w:t>
      </w:r>
      <w:r w:rsidR="005D0DB0" w:rsidRPr="002475FE">
        <w:rPr>
          <w:rFonts w:ascii="Times New Roman" w:eastAsia="Calibri" w:hAnsi="Times New Roman" w:cs="Times New Roman"/>
          <w:i/>
          <w:sz w:val="24"/>
          <w:szCs w:val="24"/>
        </w:rPr>
        <w:t xml:space="preserve">P5CS </w:t>
      </w:r>
      <w:r w:rsidR="005D0DB0" w:rsidRPr="002475FE">
        <w:rPr>
          <w:rFonts w:ascii="Times New Roman" w:eastAsia="Calibri" w:hAnsi="Times New Roman" w:cs="Times New Roman"/>
          <w:sz w:val="24"/>
          <w:szCs w:val="24"/>
        </w:rPr>
        <w:t xml:space="preserve">et </w:t>
      </w:r>
      <w:r w:rsidR="005D0DB0" w:rsidRPr="002475FE">
        <w:rPr>
          <w:rFonts w:ascii="Times New Roman" w:eastAsia="Calibri" w:hAnsi="Times New Roman" w:cs="Times New Roman"/>
          <w:i/>
          <w:sz w:val="24"/>
          <w:szCs w:val="24"/>
        </w:rPr>
        <w:t>PRODH</w:t>
      </w:r>
      <w:r w:rsidR="005D0DB0" w:rsidRPr="002475FE">
        <w:rPr>
          <w:rFonts w:ascii="Times New Roman" w:eastAsia="Calibri" w:hAnsi="Times New Roman" w:cs="Times New Roman"/>
          <w:sz w:val="24"/>
          <w:szCs w:val="24"/>
        </w:rPr>
        <w:t xml:space="preserve"> sont également modifiés par l'herbicide. </w:t>
      </w:r>
      <w:r w:rsidR="005D0DB0" w:rsidRPr="002475FE">
        <w:rPr>
          <w:rFonts w:ascii="Times New Roman" w:hAnsi="Times New Roman" w:cs="Times New Roman"/>
          <w:sz w:val="24"/>
          <w:szCs w:val="24"/>
        </w:rPr>
        <w:t>Les activités de l'</w:t>
      </w:r>
      <w:proofErr w:type="spellStart"/>
      <w:r w:rsidR="005D0DB0" w:rsidRPr="002475FE">
        <w:rPr>
          <w:rFonts w:ascii="Times New Roman" w:hAnsi="Times New Roman" w:cs="Times New Roman"/>
          <w:sz w:val="24"/>
          <w:szCs w:val="24"/>
        </w:rPr>
        <w:t>ascorbate</w:t>
      </w:r>
      <w:proofErr w:type="spellEnd"/>
      <w:r w:rsidR="005D0DB0" w:rsidRPr="002475FE">
        <w:rPr>
          <w:rFonts w:ascii="Times New Roman" w:hAnsi="Times New Roman" w:cs="Times New Roman"/>
          <w:sz w:val="24"/>
          <w:szCs w:val="24"/>
        </w:rPr>
        <w:t xml:space="preserve"> peroxydase</w:t>
      </w:r>
      <w:r w:rsidR="00746507" w:rsidRPr="002475FE">
        <w:rPr>
          <w:rFonts w:ascii="Times New Roman" w:hAnsi="Times New Roman" w:cs="Times New Roman"/>
          <w:sz w:val="24"/>
          <w:szCs w:val="24"/>
        </w:rPr>
        <w:t>,</w:t>
      </w:r>
      <w:r w:rsidR="005D0DB0" w:rsidRPr="002475FE">
        <w:rPr>
          <w:rFonts w:ascii="Times New Roman" w:hAnsi="Times New Roman" w:cs="Times New Roman"/>
          <w:sz w:val="24"/>
          <w:szCs w:val="24"/>
        </w:rPr>
        <w:t xml:space="preserve"> la catalase</w:t>
      </w:r>
      <w:r w:rsidR="00746507" w:rsidRPr="002475FE">
        <w:rPr>
          <w:rFonts w:ascii="Times New Roman" w:hAnsi="Times New Roman" w:cs="Times New Roman"/>
          <w:sz w:val="24"/>
          <w:szCs w:val="24"/>
        </w:rPr>
        <w:t>,</w:t>
      </w:r>
      <w:r w:rsidR="005D0DB0" w:rsidRPr="002475FE">
        <w:rPr>
          <w:rFonts w:ascii="Times New Roman" w:hAnsi="Times New Roman" w:cs="Times New Roman"/>
          <w:sz w:val="24"/>
          <w:szCs w:val="24"/>
        </w:rPr>
        <w:t xml:space="preserve"> et la glutathion S-transférase sont considérablement élevées aux doses 10 et 100 µM. A </w:t>
      </w:r>
      <w:r w:rsidR="005D0DB0" w:rsidRPr="002475FE">
        <w:rPr>
          <w:rFonts w:ascii="Times New Roman" w:hAnsi="Times New Roman" w:cs="Times New Roman"/>
          <w:i/>
          <w:sz w:val="24"/>
          <w:szCs w:val="24"/>
        </w:rPr>
        <w:t>contrario</w:t>
      </w:r>
      <w:r w:rsidR="005D0DB0" w:rsidRPr="002475FE">
        <w:rPr>
          <w:rFonts w:ascii="Times New Roman" w:hAnsi="Times New Roman" w:cs="Times New Roman"/>
          <w:sz w:val="24"/>
          <w:szCs w:val="24"/>
        </w:rPr>
        <w:t xml:space="preserve">, </w:t>
      </w:r>
      <w:r w:rsidR="005D0DB0" w:rsidRPr="002475FE">
        <w:rPr>
          <w:rFonts w:ascii="Times New Roman" w:eastAsia="TimesNewRoman" w:hAnsi="Times New Roman" w:cs="Times New Roman"/>
          <w:sz w:val="24"/>
          <w:szCs w:val="24"/>
        </w:rPr>
        <w:t>ces activités diminuent</w:t>
      </w:r>
      <w:r w:rsidR="005D0DB0" w:rsidRPr="002475FE">
        <w:rPr>
          <w:rFonts w:ascii="Times New Roman" w:hAnsi="Times New Roman" w:cs="Times New Roman"/>
          <w:sz w:val="24"/>
          <w:szCs w:val="24"/>
        </w:rPr>
        <w:t xml:space="preserve"> lorsque le stress est plus sévère (500 µM),</w:t>
      </w:r>
      <w:r w:rsidR="005D0DB0" w:rsidRPr="002475FE">
        <w:rPr>
          <w:rFonts w:ascii="Times New Roman" w:eastAsia="Calibri" w:hAnsi="Times New Roman" w:cs="Times New Roman"/>
          <w:sz w:val="24"/>
          <w:szCs w:val="24"/>
        </w:rPr>
        <w:t xml:space="preserve"> les dommages engendrés par la </w:t>
      </w:r>
      <w:proofErr w:type="spellStart"/>
      <w:r w:rsidR="005D0DB0" w:rsidRPr="002475FE">
        <w:rPr>
          <w:rFonts w:ascii="Times New Roman" w:eastAsia="Calibri" w:hAnsi="Times New Roman" w:cs="Times New Roman"/>
          <w:sz w:val="24"/>
          <w:szCs w:val="24"/>
        </w:rPr>
        <w:t>prométryne</w:t>
      </w:r>
      <w:proofErr w:type="spellEnd"/>
      <w:r w:rsidR="005D0DB0" w:rsidRPr="002475FE">
        <w:rPr>
          <w:rFonts w:ascii="Times New Roman" w:eastAsia="Calibri" w:hAnsi="Times New Roman" w:cs="Times New Roman"/>
          <w:sz w:val="24"/>
          <w:szCs w:val="24"/>
        </w:rPr>
        <w:t xml:space="preserve"> semblent l’emporter et les plantules finissent par dépérir.</w:t>
      </w:r>
    </w:p>
    <w:bookmarkEnd w:id="0"/>
    <w:p w:rsidR="00060D64" w:rsidRPr="00AB4D52" w:rsidRDefault="00060D64" w:rsidP="005C5EBB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60D64" w:rsidRPr="00AB4D52" w:rsidSect="00420B28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1777" w:rsidRDefault="00451777" w:rsidP="006C66CB">
      <w:pPr>
        <w:spacing w:line="240" w:lineRule="auto"/>
      </w:pPr>
      <w:r>
        <w:separator/>
      </w:r>
    </w:p>
  </w:endnote>
  <w:endnote w:type="continuationSeparator" w:id="0">
    <w:p w:rsidR="00451777" w:rsidRDefault="00451777" w:rsidP="006C66C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83" w:usb1="08070000" w:usb2="00000010" w:usb3="00000000" w:csb0="00020009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1777" w:rsidRDefault="00451777" w:rsidP="006C66CB">
      <w:pPr>
        <w:spacing w:line="240" w:lineRule="auto"/>
      </w:pPr>
      <w:r>
        <w:separator/>
      </w:r>
    </w:p>
  </w:footnote>
  <w:footnote w:type="continuationSeparator" w:id="0">
    <w:p w:rsidR="00451777" w:rsidRDefault="00451777" w:rsidP="006C66C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6CB" w:rsidRPr="006C66CB" w:rsidRDefault="006C66CB" w:rsidP="006C66CB">
    <w:pPr>
      <w:pStyle w:val="En-tte"/>
      <w:jc w:val="right"/>
      <w:rPr>
        <w:rFonts w:ascii="Lucida Calligraphy" w:hAnsi="Lucida Calligraphy"/>
        <w:i/>
        <w:u w:val="single"/>
      </w:rPr>
    </w:pPr>
    <w:r w:rsidRPr="006C66CB">
      <w:rPr>
        <w:rFonts w:ascii="Lucida Calligraphy" w:hAnsi="Lucida Calligraphy"/>
        <w:i/>
        <w:u w:val="single"/>
      </w:rPr>
      <w:t>Résumé</w:t>
    </w:r>
  </w:p>
  <w:p w:rsidR="006C66CB" w:rsidRDefault="006C66CB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60D64"/>
    <w:rsid w:val="00060D64"/>
    <w:rsid w:val="00136760"/>
    <w:rsid w:val="002475FE"/>
    <w:rsid w:val="00330E4D"/>
    <w:rsid w:val="00382409"/>
    <w:rsid w:val="00420B28"/>
    <w:rsid w:val="0043107A"/>
    <w:rsid w:val="00451777"/>
    <w:rsid w:val="00476404"/>
    <w:rsid w:val="00567FB9"/>
    <w:rsid w:val="0059516D"/>
    <w:rsid w:val="005C5EBB"/>
    <w:rsid w:val="005D0DB0"/>
    <w:rsid w:val="006127BC"/>
    <w:rsid w:val="00654BF2"/>
    <w:rsid w:val="00684609"/>
    <w:rsid w:val="006C66CB"/>
    <w:rsid w:val="00746507"/>
    <w:rsid w:val="007A59E0"/>
    <w:rsid w:val="007F0506"/>
    <w:rsid w:val="00807510"/>
    <w:rsid w:val="009679E2"/>
    <w:rsid w:val="00A45B93"/>
    <w:rsid w:val="00AC3F0B"/>
    <w:rsid w:val="00B1580D"/>
    <w:rsid w:val="00CD7CD2"/>
    <w:rsid w:val="00D16B20"/>
    <w:rsid w:val="00FC31EC"/>
    <w:rsid w:val="00FD0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3135861F-11C5-4113-A559-5D4924724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0D64"/>
    <w:pPr>
      <w:autoSpaceDE w:val="0"/>
      <w:autoSpaceDN w:val="0"/>
      <w:adjustRightInd w:val="0"/>
      <w:spacing w:after="0"/>
      <w:jc w:val="both"/>
    </w:pPr>
    <w:rPr>
      <w:rFonts w:ascii="TimesNewRoman" w:hAnsi="TimesNewRoman" w:cs="TimesNewRoman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C66CB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C66CB"/>
    <w:rPr>
      <w:rFonts w:ascii="TimesNewRoman" w:hAnsi="TimesNewRoman" w:cs="TimesNewRoman"/>
      <w:sz w:val="20"/>
      <w:szCs w:val="20"/>
    </w:rPr>
  </w:style>
  <w:style w:type="paragraph" w:styleId="Pieddepage">
    <w:name w:val="footer"/>
    <w:basedOn w:val="Normal"/>
    <w:link w:val="PieddepageCar"/>
    <w:uiPriority w:val="99"/>
    <w:semiHidden/>
    <w:unhideWhenUsed/>
    <w:rsid w:val="006C66CB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C66CB"/>
    <w:rPr>
      <w:rFonts w:ascii="TimesNewRoman" w:hAnsi="TimesNewRoman" w:cs="TimesNewRoman"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C66C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C66CB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F05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</dc:creator>
  <cp:lastModifiedBy>naima</cp:lastModifiedBy>
  <cp:revision>17</cp:revision>
  <dcterms:created xsi:type="dcterms:W3CDTF">2017-02-03T17:47:00Z</dcterms:created>
  <dcterms:modified xsi:type="dcterms:W3CDTF">2017-11-08T12:47:00Z</dcterms:modified>
</cp:coreProperties>
</file>