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6D03" w:rsidRDefault="008F6D03" w:rsidP="008F6D03">
      <w:pPr>
        <w:pStyle w:val="Corpsdetexte2"/>
        <w:spacing w:line="276" w:lineRule="auto"/>
        <w:rPr>
          <w:rFonts w:ascii="Times New Roman Gras" w:eastAsia="Times New Roman" w:hAnsi="Times New Roman Gras" w:cs="Times New Roman"/>
          <w:i/>
          <w:iCs/>
          <w:caps/>
          <w:sz w:val="24"/>
          <w:szCs w:val="32"/>
          <w:lang w:eastAsia="fr-FR"/>
        </w:rPr>
      </w:pPr>
      <w:r w:rsidRPr="008F6D03">
        <w:rPr>
          <w:rFonts w:ascii="Times New Roman Gras" w:eastAsia="Times New Roman" w:hAnsi="Times New Roman Gras" w:cs="Times New Roman"/>
          <w:i/>
          <w:iCs/>
          <w:caps/>
          <w:sz w:val="24"/>
          <w:szCs w:val="32"/>
          <w:lang w:eastAsia="fr-FR"/>
        </w:rPr>
        <w:t xml:space="preserve"> </w:t>
      </w:r>
    </w:p>
    <w:p w:rsidR="00CE0300" w:rsidRDefault="00CE0300" w:rsidP="008F6D03">
      <w:pPr>
        <w:pStyle w:val="Corpsdetexte2"/>
        <w:spacing w:line="276" w:lineRule="auto"/>
        <w:rPr>
          <w:rFonts w:ascii="Times New Roman Gras" w:eastAsia="Times New Roman" w:hAnsi="Times New Roman Gras" w:cs="Times New Roman"/>
          <w:i/>
          <w:iCs/>
          <w:caps/>
          <w:sz w:val="24"/>
          <w:szCs w:val="32"/>
          <w:lang w:eastAsia="fr-FR"/>
        </w:rPr>
      </w:pPr>
    </w:p>
    <w:p w:rsidR="00CE0300" w:rsidRDefault="00CE0300" w:rsidP="008F6D03">
      <w:pPr>
        <w:pStyle w:val="Corpsdetexte2"/>
        <w:spacing w:line="276" w:lineRule="auto"/>
        <w:rPr>
          <w:rFonts w:ascii="Times New Roman Gras" w:eastAsia="Times New Roman" w:hAnsi="Times New Roman Gras" w:cs="Times New Roman"/>
          <w:i/>
          <w:iCs/>
          <w:caps/>
          <w:sz w:val="24"/>
          <w:szCs w:val="32"/>
          <w:lang w:eastAsia="fr-FR"/>
        </w:rPr>
      </w:pPr>
    </w:p>
    <w:p w:rsidR="00CE0300" w:rsidRPr="008F6D03" w:rsidRDefault="00CE0300" w:rsidP="008F6D03">
      <w:pPr>
        <w:pStyle w:val="Corpsdetexte2"/>
        <w:spacing w:line="276" w:lineRule="auto"/>
        <w:rPr>
          <w:rFonts w:ascii="Times New Roman" w:eastAsia="Times New Roman" w:hAnsi="Times New Roman" w:cs="Times New Roman"/>
          <w:bCs/>
          <w:sz w:val="28"/>
          <w:szCs w:val="20"/>
          <w:lang w:val="x-none" w:eastAsia="x-none"/>
        </w:rPr>
      </w:pPr>
      <w:bookmarkStart w:id="0" w:name="_GoBack"/>
      <w:bookmarkEnd w:id="0"/>
    </w:p>
    <w:p w:rsidR="008F6D03" w:rsidRPr="008F6D03" w:rsidRDefault="008F6D03" w:rsidP="008F6D03">
      <w:pPr>
        <w:spacing w:after="0"/>
        <w:rPr>
          <w:rFonts w:ascii="Times New Roman" w:eastAsia="Times New Roman" w:hAnsi="Times New Roman" w:cs="Times New Roman"/>
          <w:sz w:val="28"/>
          <w:szCs w:val="28"/>
          <w:lang w:eastAsia="fr-FR"/>
        </w:rPr>
      </w:pPr>
      <w:r>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60288" behindDoc="0" locked="0" layoutInCell="1" allowOverlap="1" wp14:anchorId="7D487600" wp14:editId="5FE3D85B">
                <wp:simplePos x="0" y="0"/>
                <wp:positionH relativeFrom="column">
                  <wp:posOffset>-344423</wp:posOffset>
                </wp:positionH>
                <wp:positionV relativeFrom="paragraph">
                  <wp:posOffset>79741</wp:posOffset>
                </wp:positionV>
                <wp:extent cx="6260554" cy="6002503"/>
                <wp:effectExtent l="19050" t="19050" r="45085" b="3683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0554" cy="6002503"/>
                        </a:xfrm>
                        <a:prstGeom prst="rect">
                          <a:avLst/>
                        </a:prstGeom>
                        <a:solidFill>
                          <a:srgbClr val="FFFFFF"/>
                        </a:solidFill>
                        <a:ln w="57150" cmpd="thinThick">
                          <a:solidFill>
                            <a:srgbClr val="000000"/>
                          </a:solidFill>
                          <a:miter lim="800000"/>
                          <a:headEnd/>
                          <a:tailEnd/>
                        </a:ln>
                      </wps:spPr>
                      <wps:txbx>
                        <w:txbxContent>
                          <w:p w:rsidR="008F6D03" w:rsidRPr="008F6D03" w:rsidRDefault="008F6D03" w:rsidP="008F6D03">
                            <w:pPr>
                              <w:spacing w:line="360" w:lineRule="auto"/>
                              <w:rPr>
                                <w:rFonts w:asciiTheme="majorBidi" w:hAnsiTheme="majorBidi" w:cstheme="majorBidi"/>
                                <w:b/>
                                <w:bCs/>
                                <w:sz w:val="24"/>
                                <w:szCs w:val="24"/>
                                <w:u w:val="single"/>
                              </w:rPr>
                            </w:pPr>
                            <w:r w:rsidRPr="008F6D03">
                              <w:rPr>
                                <w:rFonts w:asciiTheme="majorBidi" w:hAnsiTheme="majorBidi" w:cstheme="majorBidi"/>
                                <w:b/>
                                <w:bCs/>
                                <w:sz w:val="24"/>
                                <w:szCs w:val="24"/>
                                <w:u w:val="single"/>
                              </w:rPr>
                              <w:t>Résumé :</w:t>
                            </w:r>
                          </w:p>
                          <w:p w:rsidR="008F6D03" w:rsidRPr="008F6D03" w:rsidRDefault="008F6D03" w:rsidP="008F6D03">
                            <w:pPr>
                              <w:spacing w:line="240" w:lineRule="auto"/>
                              <w:ind w:firstLine="360"/>
                              <w:jc w:val="both"/>
                              <w:rPr>
                                <w:rFonts w:asciiTheme="majorBidi" w:eastAsia="Calibri" w:hAnsiTheme="majorBidi" w:cstheme="majorBidi"/>
                                <w:sz w:val="24"/>
                                <w:szCs w:val="24"/>
                              </w:rPr>
                            </w:pPr>
                            <w:r w:rsidRPr="008F6D03">
                              <w:rPr>
                                <w:rFonts w:asciiTheme="majorBidi" w:hAnsiTheme="majorBidi" w:cstheme="majorBidi"/>
                                <w:sz w:val="24"/>
                                <w:szCs w:val="24"/>
                              </w:rPr>
                              <w:t xml:space="preserve">L’étude présentée dans cette thèse porte sur la réalisation et la caractérisation d’un réacteur hybride destiné au traitement de surface en duplex. </w:t>
                            </w:r>
                            <w:r w:rsidRPr="008F6D03">
                              <w:rPr>
                                <w:rFonts w:asciiTheme="majorBidi" w:eastAsia="Calibri" w:hAnsiTheme="majorBidi" w:cstheme="majorBidi"/>
                                <w:sz w:val="24"/>
                                <w:szCs w:val="24"/>
                              </w:rPr>
                              <w:t xml:space="preserve">Nous avons entamé le travail par la réalisation et installation, dans une chambre sphérique, d’une source plasma inductive tubulaire avec une antenne hélicoïdale. Par la suite, nous avons installé une cathode magnétron au sein de l’enceinte. Cela nous a permis de traiter les matériaux étudiés en duplex. Pour donner accès et faire déplacer les échantillons à l’intérieur de la chambre, un porte substrat et un passage étanche ont été réalisés. Nous avons optimisé le </w:t>
                            </w:r>
                            <w:r w:rsidRPr="008F6D03">
                              <w:rPr>
                                <w:rFonts w:asciiTheme="majorBidi" w:hAnsiTheme="majorBidi" w:cstheme="majorBidi"/>
                                <w:sz w:val="24"/>
                                <w:szCs w:val="24"/>
                              </w:rPr>
                              <w:t xml:space="preserve">réacteur hybride par des caractérisations électrique et spectroscopique. </w:t>
                            </w:r>
                            <w:r w:rsidRPr="008F6D03">
                              <w:rPr>
                                <w:rFonts w:asciiTheme="majorBidi" w:eastAsia="Calibri" w:hAnsiTheme="majorBidi" w:cstheme="majorBidi"/>
                                <w:sz w:val="24"/>
                                <w:szCs w:val="24"/>
                              </w:rPr>
                              <w:t>Dans la caractérisation électrique, nous avons pu montrer que les paramètres de la décharge ; à savoir la pression et la puissance,  ainsi que la distance de collection influant sur les paramètres du plasma (densité ionique, potentiel plasma, température électronique, potentiel d’auto-polarisation et tension RF). Quant à la caractérisation spectroscopique, nous avons suivi par la technique de la spectroscopie d’émission optique, l’évolution de l’intensité des raies de N</w:t>
                            </w:r>
                            <w:r w:rsidRPr="008F6D03">
                              <w:rPr>
                                <w:rFonts w:asciiTheme="majorBidi" w:eastAsia="Calibri" w:hAnsiTheme="majorBidi" w:cstheme="majorBidi"/>
                                <w:sz w:val="24"/>
                                <w:szCs w:val="24"/>
                                <w:vertAlign w:val="superscript"/>
                              </w:rPr>
                              <w:t>2+</w:t>
                            </w:r>
                            <w:r w:rsidRPr="008F6D03">
                              <w:rPr>
                                <w:rFonts w:asciiTheme="majorBidi" w:eastAsia="Calibri" w:hAnsiTheme="majorBidi" w:cstheme="majorBidi"/>
                                <w:sz w:val="24"/>
                                <w:szCs w:val="24"/>
                              </w:rPr>
                              <w:t xml:space="preserve"> (391 nm) et Ti</w:t>
                            </w:r>
                            <w:r w:rsidRPr="008F6D03">
                              <w:rPr>
                                <w:rFonts w:asciiTheme="majorBidi" w:eastAsia="Calibri" w:hAnsiTheme="majorBidi" w:cstheme="majorBidi"/>
                                <w:sz w:val="24"/>
                                <w:szCs w:val="24"/>
                                <w:vertAlign w:val="superscript"/>
                              </w:rPr>
                              <w:t>*</w:t>
                            </w:r>
                            <w:r w:rsidRPr="008F6D03">
                              <w:rPr>
                                <w:rFonts w:asciiTheme="majorBidi" w:eastAsia="Calibri" w:hAnsiTheme="majorBidi" w:cstheme="majorBidi"/>
                                <w:sz w:val="24"/>
                                <w:szCs w:val="24"/>
                              </w:rPr>
                              <w:t xml:space="preserve"> (498 nm) en fonction des paramètres de la décharge et la distance entres les sources plasma et la fibre optique. </w:t>
                            </w:r>
                          </w:p>
                          <w:p w:rsidR="008F6D03" w:rsidRPr="008F6D03" w:rsidRDefault="008F6D03" w:rsidP="008F6D03">
                            <w:pPr>
                              <w:spacing w:line="240" w:lineRule="auto"/>
                              <w:ind w:firstLine="360"/>
                              <w:contextualSpacing/>
                              <w:jc w:val="both"/>
                              <w:rPr>
                                <w:rFonts w:asciiTheme="majorBidi" w:eastAsia="Calibri" w:hAnsiTheme="majorBidi" w:cstheme="majorBidi"/>
                                <w:sz w:val="24"/>
                                <w:szCs w:val="24"/>
                              </w:rPr>
                            </w:pPr>
                            <w:r w:rsidRPr="008F6D03">
                              <w:rPr>
                                <w:rFonts w:asciiTheme="majorBidi" w:eastAsia="Calibri" w:hAnsiTheme="majorBidi" w:cstheme="majorBidi"/>
                                <w:sz w:val="24"/>
                                <w:szCs w:val="24"/>
                              </w:rPr>
                              <w:t xml:space="preserve">Les échantillons d’acier faiblement allié au carbone qui ont été traités dans le réacteur hybride réalisé ont fait l’objet de deux applications, et ce dans le but d’améliorer leurs propriétés mécanique et électrochimique. </w:t>
                            </w:r>
                          </w:p>
                          <w:p w:rsidR="008F6D03" w:rsidRPr="008F6D03" w:rsidRDefault="008F6D03" w:rsidP="008F6D03">
                            <w:pPr>
                              <w:spacing w:line="240" w:lineRule="auto"/>
                              <w:ind w:firstLine="360"/>
                              <w:contextualSpacing/>
                              <w:jc w:val="both"/>
                              <w:rPr>
                                <w:rFonts w:asciiTheme="majorBidi" w:eastAsia="Calibri" w:hAnsiTheme="majorBidi" w:cstheme="majorBidi"/>
                                <w:sz w:val="24"/>
                                <w:szCs w:val="24"/>
                              </w:rPr>
                            </w:pPr>
                            <w:r w:rsidRPr="008F6D03">
                              <w:rPr>
                                <w:rFonts w:asciiTheme="majorBidi" w:eastAsia="Calibri" w:hAnsiTheme="majorBidi" w:cstheme="majorBidi"/>
                                <w:sz w:val="24"/>
                                <w:szCs w:val="24"/>
                              </w:rPr>
                              <w:t>La première application est la nitruration ionique par plasma. Dans cette partie, nous avons mis en évidence le mécanisme d’auto-chauffage induit par la polarisation continue des substrats. Cette étude nous a permis d’augmenter la nano-dureté jusqu’à environ 450 % et d’améliorer le comportement de la résistance à la corrosion pour les échantillons nitrurés comparativement à ceux non traités. Cette étude a confirmé que les phases ε-Fe</w:t>
                            </w:r>
                            <w:r w:rsidRPr="008F6D03">
                              <w:rPr>
                                <w:rFonts w:asciiTheme="majorBidi" w:eastAsia="Calibri" w:hAnsiTheme="majorBidi" w:cstheme="majorBidi"/>
                                <w:sz w:val="24"/>
                                <w:szCs w:val="24"/>
                                <w:vertAlign w:val="subscript"/>
                              </w:rPr>
                              <w:t>2-3</w:t>
                            </w:r>
                            <w:r w:rsidRPr="008F6D03">
                              <w:rPr>
                                <w:rFonts w:asciiTheme="majorBidi" w:eastAsia="Calibri" w:hAnsiTheme="majorBidi" w:cstheme="majorBidi"/>
                                <w:sz w:val="24"/>
                                <w:szCs w:val="24"/>
                              </w:rPr>
                              <w:t>N et γ'-Fe</w:t>
                            </w:r>
                            <w:r w:rsidRPr="008F6D03">
                              <w:rPr>
                                <w:rFonts w:asciiTheme="majorBidi" w:eastAsia="Calibri" w:hAnsiTheme="majorBidi" w:cstheme="majorBidi"/>
                                <w:sz w:val="24"/>
                                <w:szCs w:val="24"/>
                                <w:vertAlign w:val="subscript"/>
                              </w:rPr>
                              <w:t>4</w:t>
                            </w:r>
                            <w:r w:rsidRPr="008F6D03">
                              <w:rPr>
                                <w:rFonts w:asciiTheme="majorBidi" w:eastAsia="Calibri" w:hAnsiTheme="majorBidi" w:cstheme="majorBidi"/>
                                <w:sz w:val="24"/>
                                <w:szCs w:val="24"/>
                              </w:rPr>
                              <w:t xml:space="preserve">N  participent au durcissement  et la teneur à la corrosion des échantillons. </w:t>
                            </w:r>
                          </w:p>
                          <w:p w:rsidR="008F6D03" w:rsidRDefault="008F6D03" w:rsidP="008F6D03">
                            <w:pPr>
                              <w:spacing w:line="240" w:lineRule="auto"/>
                              <w:ind w:firstLine="360"/>
                              <w:jc w:val="both"/>
                              <w:rPr>
                                <w:rFonts w:asciiTheme="majorBidi" w:eastAsia="Calibri" w:hAnsiTheme="majorBidi" w:cstheme="majorBidi"/>
                                <w:sz w:val="24"/>
                                <w:szCs w:val="24"/>
                              </w:rPr>
                            </w:pPr>
                            <w:r w:rsidRPr="008F6D03">
                              <w:rPr>
                                <w:rFonts w:asciiTheme="majorBidi" w:eastAsia="Calibri" w:hAnsiTheme="majorBidi" w:cstheme="majorBidi"/>
                                <w:sz w:val="24"/>
                                <w:szCs w:val="24"/>
                              </w:rPr>
                              <w:t>La deuxième application consiste à élaborer des couches minces de titane précédées par une nitruration afin d’améliorer l’adhérence de la couche déposée. Ce traitement duplex des échantillons a amélioré l’accrochage de la couche déposée et les propriétés mécaniques du matériau tel que la dureté. Les résultats obtenus après les tests de corrosion nous indiquent une activité électrochimique réduite, ainsi qu’une résistance plus grande à la corrosion dans le cas de dépôt précédé par un prétraitement.</w:t>
                            </w: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Pr="008F6D03" w:rsidRDefault="008F6D03" w:rsidP="008F6D03">
                            <w:pPr>
                              <w:spacing w:line="240" w:lineRule="auto"/>
                              <w:ind w:firstLine="360"/>
                              <w:jc w:val="both"/>
                              <w:rPr>
                                <w:rFonts w:asciiTheme="majorBidi" w:eastAsia="Calibri" w:hAnsiTheme="majorBidi" w:cstheme="majorBidi"/>
                                <w:sz w:val="24"/>
                                <w:szCs w:val="24"/>
                              </w:rPr>
                            </w:pPr>
                          </w:p>
                          <w:p w:rsidR="008F6D03" w:rsidRPr="008F6D03" w:rsidRDefault="008F6D03" w:rsidP="008F6D03">
                            <w:pPr>
                              <w:spacing w:line="240" w:lineRule="auto"/>
                              <w:contextualSpacing/>
                              <w:rPr>
                                <w:rFonts w:eastAsia="Calibri"/>
                                <w:sz w:val="24"/>
                                <w:szCs w:val="24"/>
                              </w:rPr>
                            </w:pPr>
                          </w:p>
                          <w:p w:rsidR="008F6D03" w:rsidRPr="006E0D47" w:rsidRDefault="008F6D03" w:rsidP="008F6D03">
                            <w:pPr>
                              <w:spacing w:line="360" w:lineRule="auto"/>
                              <w:rPr>
                                <w:rFonts w:eastAsia="Calibri"/>
                                <w:sz w:val="28"/>
                                <w:szCs w:val="28"/>
                              </w:rPr>
                            </w:pPr>
                          </w:p>
                          <w:p w:rsidR="008F6D03" w:rsidRPr="006E0D47" w:rsidRDefault="008F6D03" w:rsidP="008F6D03">
                            <w:pPr>
                              <w:spacing w:line="360" w:lineRule="auto"/>
                              <w:ind w:firstLine="708"/>
                              <w:rPr>
                                <w:rFonts w:eastAsia="Calibri"/>
                                <w:sz w:val="28"/>
                                <w:szCs w:val="28"/>
                              </w:rPr>
                            </w:pPr>
                          </w:p>
                          <w:p w:rsidR="008F6D03" w:rsidRPr="00100FBC" w:rsidRDefault="008F6D03" w:rsidP="008F6D03">
                            <w:pPr>
                              <w:autoSpaceDE w:val="0"/>
                              <w:autoSpaceDN w:val="0"/>
                              <w:adjustRightInd w:val="0"/>
                              <w:spacing w:line="240" w:lineRule="auto"/>
                              <w:ind w:firstLine="28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487600" id="Rectangle 2" o:spid="_x0000_s1026" style="position:absolute;margin-left:-27.1pt;margin-top:6.3pt;width:492.95pt;height:472.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" strokeweight="4.5pt">
                <v:stroke linestyle="thinThick"/>
                <v:textbox>
                  <w:txbxContent>
                    <w:p w:rsidR="008F6D03" w:rsidRPr="008F6D03" w:rsidRDefault="008F6D03" w:rsidP="008F6D03">
                      <w:pPr>
                        <w:spacing w:line="360" w:lineRule="auto"/>
                        <w:rPr>
                          <w:rFonts w:asciiTheme="majorBidi" w:hAnsiTheme="majorBidi" w:cstheme="majorBidi"/>
                          <w:b/>
                          <w:bCs/>
                          <w:sz w:val="24"/>
                          <w:szCs w:val="24"/>
                          <w:u w:val="single"/>
                        </w:rPr>
                      </w:pPr>
                      <w:r w:rsidRPr="008F6D03">
                        <w:rPr>
                          <w:rFonts w:asciiTheme="majorBidi" w:hAnsiTheme="majorBidi" w:cstheme="majorBidi"/>
                          <w:b/>
                          <w:bCs/>
                          <w:sz w:val="24"/>
                          <w:szCs w:val="24"/>
                          <w:u w:val="single"/>
                        </w:rPr>
                        <w:t>Résumé :</w:t>
                      </w:r>
                    </w:p>
                    <w:p w:rsidR="008F6D03" w:rsidRPr="008F6D03" w:rsidRDefault="008F6D03" w:rsidP="008F6D03">
                      <w:pPr>
                        <w:spacing w:line="240" w:lineRule="auto"/>
                        <w:ind w:firstLine="360"/>
                        <w:jc w:val="both"/>
                        <w:rPr>
                          <w:rFonts w:asciiTheme="majorBidi" w:eastAsia="Calibri" w:hAnsiTheme="majorBidi" w:cstheme="majorBidi"/>
                          <w:sz w:val="24"/>
                          <w:szCs w:val="24"/>
                        </w:rPr>
                      </w:pPr>
                      <w:r w:rsidRPr="008F6D03">
                        <w:rPr>
                          <w:rFonts w:asciiTheme="majorBidi" w:hAnsiTheme="majorBidi" w:cstheme="majorBidi"/>
                          <w:sz w:val="24"/>
                          <w:szCs w:val="24"/>
                        </w:rPr>
                        <w:t xml:space="preserve">L’étude présentée dans cette thèse porte sur la réalisation et la caractérisation d’un réacteur hybride destiné au traitement de surface en duplex. </w:t>
                      </w:r>
                      <w:r w:rsidRPr="008F6D03">
                        <w:rPr>
                          <w:rFonts w:asciiTheme="majorBidi" w:eastAsia="Calibri" w:hAnsiTheme="majorBidi" w:cstheme="majorBidi"/>
                          <w:sz w:val="24"/>
                          <w:szCs w:val="24"/>
                        </w:rPr>
                        <w:t xml:space="preserve">Nous avons entamé le travail par la réalisation et installation, dans une chambre sphérique, d’une source plasma inductive tubulaire avec une antenne hélicoïdale. Par la suite, nous avons installé une cathode magnétron au sein de l’enceinte. Cela nous a permis de traiter les matériaux étudiés en duplex. Pour donner accès et faire déplacer les échantillons à l’intérieur de la chambre, un porte substrat et un passage étanche ont été réalisés. Nous avons optimisé le </w:t>
                      </w:r>
                      <w:r w:rsidRPr="008F6D03">
                        <w:rPr>
                          <w:rFonts w:asciiTheme="majorBidi" w:hAnsiTheme="majorBidi" w:cstheme="majorBidi"/>
                          <w:sz w:val="24"/>
                          <w:szCs w:val="24"/>
                        </w:rPr>
                        <w:t xml:space="preserve">réacteur hybride par des caractérisations électrique et spectroscopique. </w:t>
                      </w:r>
                      <w:r w:rsidRPr="008F6D03">
                        <w:rPr>
                          <w:rFonts w:asciiTheme="majorBidi" w:eastAsia="Calibri" w:hAnsiTheme="majorBidi" w:cstheme="majorBidi"/>
                          <w:sz w:val="24"/>
                          <w:szCs w:val="24"/>
                        </w:rPr>
                        <w:t>Dans la caractérisation électrique, nous avons pu montrer que les paramètres de la décharge ; à savoir la pression et la puissance,  ainsi que la distance de collection influant sur les paramètres du plasma (densité ionique, potentiel plasma, température électronique, potentiel d’auto-polarisation et tension RF). Quant à la caractérisation spectroscopique, nous avons suivi par la technique de la spectroscopie d’émission optique, l’évolution de l’intensité des raies de N</w:t>
                      </w:r>
                      <w:r w:rsidRPr="008F6D03">
                        <w:rPr>
                          <w:rFonts w:asciiTheme="majorBidi" w:eastAsia="Calibri" w:hAnsiTheme="majorBidi" w:cstheme="majorBidi"/>
                          <w:sz w:val="24"/>
                          <w:szCs w:val="24"/>
                          <w:vertAlign w:val="superscript"/>
                        </w:rPr>
                        <w:t>2+</w:t>
                      </w:r>
                      <w:r w:rsidRPr="008F6D03">
                        <w:rPr>
                          <w:rFonts w:asciiTheme="majorBidi" w:eastAsia="Calibri" w:hAnsiTheme="majorBidi" w:cstheme="majorBidi"/>
                          <w:sz w:val="24"/>
                          <w:szCs w:val="24"/>
                        </w:rPr>
                        <w:t xml:space="preserve"> (391 nm) et Ti</w:t>
                      </w:r>
                      <w:r w:rsidRPr="008F6D03">
                        <w:rPr>
                          <w:rFonts w:asciiTheme="majorBidi" w:eastAsia="Calibri" w:hAnsiTheme="majorBidi" w:cstheme="majorBidi"/>
                          <w:sz w:val="24"/>
                          <w:szCs w:val="24"/>
                          <w:vertAlign w:val="superscript"/>
                        </w:rPr>
                        <w:t>*</w:t>
                      </w:r>
                      <w:r w:rsidRPr="008F6D03">
                        <w:rPr>
                          <w:rFonts w:asciiTheme="majorBidi" w:eastAsia="Calibri" w:hAnsiTheme="majorBidi" w:cstheme="majorBidi"/>
                          <w:sz w:val="24"/>
                          <w:szCs w:val="24"/>
                        </w:rPr>
                        <w:t xml:space="preserve"> (498 nm) en fonction des paramètres de la décharge et la distance entres les sources plasma et la fibre optique. </w:t>
                      </w:r>
                    </w:p>
                    <w:p w:rsidR="008F6D03" w:rsidRPr="008F6D03" w:rsidRDefault="008F6D03" w:rsidP="008F6D03">
                      <w:pPr>
                        <w:spacing w:line="240" w:lineRule="auto"/>
                        <w:ind w:firstLine="360"/>
                        <w:contextualSpacing/>
                        <w:jc w:val="both"/>
                        <w:rPr>
                          <w:rFonts w:asciiTheme="majorBidi" w:eastAsia="Calibri" w:hAnsiTheme="majorBidi" w:cstheme="majorBidi"/>
                          <w:sz w:val="24"/>
                          <w:szCs w:val="24"/>
                        </w:rPr>
                      </w:pPr>
                      <w:r w:rsidRPr="008F6D03">
                        <w:rPr>
                          <w:rFonts w:asciiTheme="majorBidi" w:eastAsia="Calibri" w:hAnsiTheme="majorBidi" w:cstheme="majorBidi"/>
                          <w:sz w:val="24"/>
                          <w:szCs w:val="24"/>
                        </w:rPr>
                        <w:t xml:space="preserve">Les échantillons d’acier faiblement allié au carbone qui ont été traités dans le réacteur hybride réalisé ont fait l’objet de deux applications, et ce dans le but d’améliorer leurs propriétés mécanique et électrochimique. </w:t>
                      </w:r>
                    </w:p>
                    <w:p w:rsidR="008F6D03" w:rsidRPr="008F6D03" w:rsidRDefault="008F6D03" w:rsidP="008F6D03">
                      <w:pPr>
                        <w:spacing w:line="240" w:lineRule="auto"/>
                        <w:ind w:firstLine="360"/>
                        <w:contextualSpacing/>
                        <w:jc w:val="both"/>
                        <w:rPr>
                          <w:rFonts w:asciiTheme="majorBidi" w:eastAsia="Calibri" w:hAnsiTheme="majorBidi" w:cstheme="majorBidi"/>
                          <w:sz w:val="24"/>
                          <w:szCs w:val="24"/>
                        </w:rPr>
                      </w:pPr>
                      <w:r w:rsidRPr="008F6D03">
                        <w:rPr>
                          <w:rFonts w:asciiTheme="majorBidi" w:eastAsia="Calibri" w:hAnsiTheme="majorBidi" w:cstheme="majorBidi"/>
                          <w:sz w:val="24"/>
                          <w:szCs w:val="24"/>
                        </w:rPr>
                        <w:t>La première application est la nitruration ionique par plasma. Dans cette partie, nous avons mis en évidence le mécanisme d’auto-chauffage induit par la polarisation continue des substrats. Cette étude nous a permis d’augmenter la nano-dureté jusqu’à environ 450 % et d’améliorer le comportement de la résistance à la corrosion pour les échantillons nitrurés comparativement à ceux non traités. Cette étude a confirmé que les phases ε-Fe</w:t>
                      </w:r>
                      <w:r w:rsidRPr="008F6D03">
                        <w:rPr>
                          <w:rFonts w:asciiTheme="majorBidi" w:eastAsia="Calibri" w:hAnsiTheme="majorBidi" w:cstheme="majorBidi"/>
                          <w:sz w:val="24"/>
                          <w:szCs w:val="24"/>
                          <w:vertAlign w:val="subscript"/>
                        </w:rPr>
                        <w:t>2-3</w:t>
                      </w:r>
                      <w:r w:rsidRPr="008F6D03">
                        <w:rPr>
                          <w:rFonts w:asciiTheme="majorBidi" w:eastAsia="Calibri" w:hAnsiTheme="majorBidi" w:cstheme="majorBidi"/>
                          <w:sz w:val="24"/>
                          <w:szCs w:val="24"/>
                        </w:rPr>
                        <w:t>N et γ'-Fe</w:t>
                      </w:r>
                      <w:r w:rsidRPr="008F6D03">
                        <w:rPr>
                          <w:rFonts w:asciiTheme="majorBidi" w:eastAsia="Calibri" w:hAnsiTheme="majorBidi" w:cstheme="majorBidi"/>
                          <w:sz w:val="24"/>
                          <w:szCs w:val="24"/>
                          <w:vertAlign w:val="subscript"/>
                        </w:rPr>
                        <w:t>4</w:t>
                      </w:r>
                      <w:r w:rsidRPr="008F6D03">
                        <w:rPr>
                          <w:rFonts w:asciiTheme="majorBidi" w:eastAsia="Calibri" w:hAnsiTheme="majorBidi" w:cstheme="majorBidi"/>
                          <w:sz w:val="24"/>
                          <w:szCs w:val="24"/>
                        </w:rPr>
                        <w:t xml:space="preserve">N  participent au durcissement  et la teneur à la corrosion des échantillons. </w:t>
                      </w:r>
                    </w:p>
                    <w:p w:rsidR="008F6D03" w:rsidRDefault="008F6D03" w:rsidP="008F6D03">
                      <w:pPr>
                        <w:spacing w:line="240" w:lineRule="auto"/>
                        <w:ind w:firstLine="360"/>
                        <w:jc w:val="both"/>
                        <w:rPr>
                          <w:rFonts w:asciiTheme="majorBidi" w:eastAsia="Calibri" w:hAnsiTheme="majorBidi" w:cstheme="majorBidi"/>
                          <w:sz w:val="24"/>
                          <w:szCs w:val="24"/>
                        </w:rPr>
                      </w:pPr>
                      <w:r w:rsidRPr="008F6D03">
                        <w:rPr>
                          <w:rFonts w:asciiTheme="majorBidi" w:eastAsia="Calibri" w:hAnsiTheme="majorBidi" w:cstheme="majorBidi"/>
                          <w:sz w:val="24"/>
                          <w:szCs w:val="24"/>
                        </w:rPr>
                        <w:t>La deuxième application consiste à élaborer des couches minces de titane précédées par une nitruration afin d’améliorer l’adhérence de la couche déposée. Ce traitement duplex des échantillons a amélioré l’accrochage de la couche déposée et les propriétés mécaniques du matériau tel que la dureté. Les résultats obtenus après les tests de corrosion nous indiquent une activité électrochimique réduite, ainsi qu’une résistance plus grande à la corrosion dans le cas de dépôt précédé par un prétraitement.</w:t>
                      </w: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Default="008F6D03" w:rsidP="008F6D03">
                      <w:pPr>
                        <w:spacing w:line="240" w:lineRule="auto"/>
                        <w:ind w:firstLine="360"/>
                        <w:jc w:val="both"/>
                        <w:rPr>
                          <w:rFonts w:asciiTheme="majorBidi" w:eastAsia="Calibri" w:hAnsiTheme="majorBidi" w:cstheme="majorBidi"/>
                          <w:sz w:val="24"/>
                          <w:szCs w:val="24"/>
                        </w:rPr>
                      </w:pPr>
                    </w:p>
                    <w:p w:rsidR="008F6D03" w:rsidRPr="008F6D03" w:rsidRDefault="008F6D03" w:rsidP="008F6D03">
                      <w:pPr>
                        <w:spacing w:line="240" w:lineRule="auto"/>
                        <w:ind w:firstLine="360"/>
                        <w:jc w:val="both"/>
                        <w:rPr>
                          <w:rFonts w:asciiTheme="majorBidi" w:eastAsia="Calibri" w:hAnsiTheme="majorBidi" w:cstheme="majorBidi"/>
                          <w:sz w:val="24"/>
                          <w:szCs w:val="24"/>
                        </w:rPr>
                      </w:pPr>
                    </w:p>
                    <w:p w:rsidR="008F6D03" w:rsidRPr="008F6D03" w:rsidRDefault="008F6D03" w:rsidP="008F6D03">
                      <w:pPr>
                        <w:spacing w:line="240" w:lineRule="auto"/>
                        <w:contextualSpacing/>
                        <w:rPr>
                          <w:rFonts w:eastAsia="Calibri"/>
                          <w:sz w:val="24"/>
                          <w:szCs w:val="24"/>
                        </w:rPr>
                      </w:pPr>
                    </w:p>
                    <w:p w:rsidR="008F6D03" w:rsidRPr="006E0D47" w:rsidRDefault="008F6D03" w:rsidP="008F6D03">
                      <w:pPr>
                        <w:spacing w:line="360" w:lineRule="auto"/>
                        <w:rPr>
                          <w:rFonts w:eastAsia="Calibri"/>
                          <w:sz w:val="28"/>
                          <w:szCs w:val="28"/>
                        </w:rPr>
                      </w:pPr>
                    </w:p>
                    <w:p w:rsidR="008F6D03" w:rsidRPr="006E0D47" w:rsidRDefault="008F6D03" w:rsidP="008F6D03">
                      <w:pPr>
                        <w:spacing w:line="360" w:lineRule="auto"/>
                        <w:ind w:firstLine="708"/>
                        <w:rPr>
                          <w:rFonts w:eastAsia="Calibri"/>
                          <w:sz w:val="28"/>
                          <w:szCs w:val="28"/>
                        </w:rPr>
                      </w:pPr>
                    </w:p>
                    <w:p w:rsidR="008F6D03" w:rsidRPr="00100FBC" w:rsidRDefault="008F6D03" w:rsidP="008F6D03">
                      <w:pPr>
                        <w:autoSpaceDE w:val="0"/>
                        <w:autoSpaceDN w:val="0"/>
                        <w:adjustRightInd w:val="0"/>
                        <w:spacing w:line="240" w:lineRule="auto"/>
                        <w:ind w:firstLine="284"/>
                        <w:rPr>
                          <w:color w:val="000000"/>
                        </w:rPr>
                      </w:pPr>
                    </w:p>
                  </w:txbxContent>
                </v:textbox>
              </v:rect>
            </w:pict>
          </mc:Fallback>
        </mc:AlternateContent>
      </w: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spacing w:after="0"/>
        <w:jc w:val="center"/>
        <w:rPr>
          <w:rFonts w:ascii="Times New Roman" w:eastAsia="Times New Roman" w:hAnsi="Times New Roman" w:cs="Times New Roman"/>
          <w:sz w:val="28"/>
          <w:szCs w:val="28"/>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Pr="008F6D03" w:rsidRDefault="008F6D03" w:rsidP="008F6D03">
      <w:pPr>
        <w:tabs>
          <w:tab w:val="left" w:pos="8280"/>
        </w:tabs>
        <w:spacing w:after="0"/>
        <w:jc w:val="both"/>
        <w:rPr>
          <w:rFonts w:ascii="Times New Roman" w:eastAsia="Times New Roman" w:hAnsi="Times New Roman" w:cs="Times New Roman"/>
          <w:b/>
          <w:sz w:val="24"/>
          <w:szCs w:val="24"/>
          <w:vertAlign w:val="superscript"/>
          <w:lang w:eastAsia="fr-FR"/>
        </w:rPr>
      </w:pPr>
    </w:p>
    <w:p w:rsidR="008F6D03" w:rsidRDefault="008F6D03" w:rsidP="008F6D03">
      <w:pPr>
        <w:tabs>
          <w:tab w:val="left" w:pos="8280"/>
        </w:tabs>
        <w:spacing w:after="0"/>
        <w:jc w:val="both"/>
        <w:rPr>
          <w:rFonts w:ascii="Times New Roman" w:eastAsia="Times New Roman" w:hAnsi="Times New Roman" w:cs="Times New Roman"/>
          <w:b/>
          <w:i/>
          <w:sz w:val="24"/>
          <w:szCs w:val="24"/>
          <w:vertAlign w:val="superscript"/>
          <w:lang w:eastAsia="fr-FR"/>
        </w:rPr>
      </w:pPr>
    </w:p>
    <w:sectPr w:rsidR="008F6D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 New Roman Gras">
    <w:altName w:val="Times New Roman"/>
    <w:panose1 w:val="00000000000000000000"/>
    <w:charset w:val="00"/>
    <w:family w:val="roman"/>
    <w:notTrueType/>
    <w:pitch w:val="default"/>
    <w:sig w:usb0="00000004" w:usb1="00000000" w:usb2="0000000D" w:usb3="00000002" w:csb0="00000004"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D03"/>
    <w:rsid w:val="0019197D"/>
    <w:rsid w:val="00832340"/>
    <w:rsid w:val="008F6D03"/>
    <w:rsid w:val="00CE030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BAC9AB-183C-4173-BBB0-34D56E3F3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link w:val="Corpsdetexte2Car"/>
    <w:uiPriority w:val="99"/>
    <w:semiHidden/>
    <w:unhideWhenUsed/>
    <w:rsid w:val="008F6D03"/>
    <w:pPr>
      <w:spacing w:after="120" w:line="480" w:lineRule="auto"/>
    </w:pPr>
  </w:style>
  <w:style w:type="character" w:customStyle="1" w:styleId="Corpsdetexte2Car">
    <w:name w:val="Corps de texte 2 Car"/>
    <w:basedOn w:val="Policepardfaut"/>
    <w:link w:val="Corpsdetexte2"/>
    <w:uiPriority w:val="99"/>
    <w:semiHidden/>
    <w:rsid w:val="008F6D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Words>
  <Characters>30</Characters>
  <Application>Microsoft Office Word</Application>
  <DocSecurity>0</DocSecurity>
  <Lines>1</Lines>
  <Paragraphs>1</Paragraphs>
  <ScaleCrop>false</ScaleCrop>
  <Company/>
  <LinksUpToDate>false</LinksUpToDate>
  <CharactersWithSpaces>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admin14</dc:creator>
  <cp:lastModifiedBy>naima</cp:lastModifiedBy>
  <cp:revision>4</cp:revision>
  <dcterms:created xsi:type="dcterms:W3CDTF">2017-02-14T14:53:00Z</dcterms:created>
  <dcterms:modified xsi:type="dcterms:W3CDTF">2018-01-30T14:03:00Z</dcterms:modified>
</cp:coreProperties>
</file>