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76DC4" w:rsidRPr="002A0EE2" w:rsidRDefault="002A0EE2" w:rsidP="002A0EE2">
      <w:pPr>
        <w:bidi w:val="0"/>
        <w:rPr>
          <w:rFonts w:hint="cs"/>
          <w:lang w:val="fr-FR" w:bidi="ar-DZ"/>
        </w:rPr>
      </w:pPr>
      <w:r w:rsidRPr="002A0EE2">
        <w:rPr>
          <w:lang w:val="fr-FR" w:bidi="ar-DZ"/>
        </w:rPr>
        <w:t xml:space="preserve">L'objectif de ce travail, consistait d'une part, à quantifier les apports sédimentaires et leurs caractéristiques géochimiques afin d'identifier les sources de matières véhiculées par l'oued </w:t>
      </w:r>
      <w:proofErr w:type="spellStart"/>
      <w:r w:rsidRPr="002A0EE2">
        <w:rPr>
          <w:lang w:val="fr-FR" w:bidi="ar-DZ"/>
        </w:rPr>
        <w:t>Mazafran</w:t>
      </w:r>
      <w:proofErr w:type="spellEnd"/>
      <w:r w:rsidRPr="002A0EE2">
        <w:rPr>
          <w:lang w:val="fr-FR" w:bidi="ar-DZ"/>
        </w:rPr>
        <w:t xml:space="preserve"> et mettre en évidence les périodes de pollutions. D'autre part, évaluer la variabilité des composés en solution (sels nutritifs et éléments majeurs) en relation avec les paramètres physico-chimiques.  L'approche géochimique était basée sur le déroulement d'un suivi mensuel pendant une année, de novembre 2005 à octobre 2006 de l'évolution de la composition de l'eau par la détermination de la matière en suspension et des paramètres physico-chimiques. Puis nous avons analysé le carbone organique et inorganique  ainsi que l'azote particulaires  et érigé les relations entre les MES et les différents paramètres géochimiques. La suspension fluviatile contemporaine des phases de débit actif est pauvre en COP et </w:t>
      </w:r>
      <w:proofErr w:type="spellStart"/>
      <w:r w:rsidRPr="002A0EE2">
        <w:rPr>
          <w:lang w:val="fr-FR" w:bidi="ar-DZ"/>
        </w:rPr>
        <w:t>Ntotal</w:t>
      </w:r>
      <w:proofErr w:type="spellEnd"/>
      <w:r w:rsidRPr="002A0EE2">
        <w:rPr>
          <w:lang w:val="fr-FR" w:bidi="ar-DZ"/>
        </w:rPr>
        <w:t xml:space="preserve"> ce qui laisse penser que la suspension de crue est formée en majorité de matériel minéral détritique qui aboutit rapidement à la mer. Au contraire, pendant les périodes d'étiage avec la fermeture de l'estuaire, l'eau de l'oued se trouve essentiellement alimentée par les rejets anthropiques engendrant de fortes concentrations en carbone et azote ce qui aboutit à l'eutrophisation du système estuarien. La mise en évidence de la variabilité des apports a été basée sur les relations MES/Débit et COP/Débit. Les relations  établies entre les paramètres physico-chimiques (pH, conductivité) et les débits, d'une part, et  les concentrations en éléments majeurs, d'autre part, ont eu pour objectif d'affiner  l'impact de la pollution sur la composition chimique de l'eau et de préciser le type d'eau que draine l'oued </w:t>
      </w:r>
      <w:proofErr w:type="spellStart"/>
      <w:r w:rsidRPr="002A0EE2">
        <w:rPr>
          <w:lang w:val="fr-FR" w:bidi="ar-DZ"/>
        </w:rPr>
        <w:t>Mazafran</w:t>
      </w:r>
      <w:proofErr w:type="spellEnd"/>
      <w:r w:rsidRPr="002A0EE2">
        <w:rPr>
          <w:lang w:val="fr-FR" w:bidi="ar-DZ"/>
        </w:rPr>
        <w:t xml:space="preserve">. La forte minéralisation établie des eaux de l'oued </w:t>
      </w:r>
      <w:proofErr w:type="spellStart"/>
      <w:r w:rsidRPr="002A0EE2">
        <w:rPr>
          <w:lang w:val="fr-FR" w:bidi="ar-DZ"/>
        </w:rPr>
        <w:t>Mazafran</w:t>
      </w:r>
      <w:proofErr w:type="spellEnd"/>
      <w:r w:rsidRPr="002A0EE2">
        <w:rPr>
          <w:lang w:val="fr-FR" w:bidi="ar-DZ"/>
        </w:rPr>
        <w:t>, indique que ce caractère serait lié à la nature des roches que traverse l'oued mais également aux apports anthropiques. Les éléments majeurs peuvent être dilués au cours de l'hiver par de fortes précipitations.  Les concentrations en éléments nutritifs : matières azotées et phosphorées ainsi que la demande chimique en oxygène (DCO) et la demande biologique en oxygène (DBO5) sont élevées en été notamment dans l'estuaire de l'oued, mais amoindries devant l'embouchure de l'oued à cause du brassage continu par les eaux marines.</w:t>
      </w:r>
    </w:p>
    <w:sectPr w:rsidR="00176DC4" w:rsidRPr="002A0EE2"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2A0EE2"/>
    <w:rsid w:val="00176DC4"/>
    <w:rsid w:val="002A0EE2"/>
    <w:rsid w:val="006D575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76DC4"/>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348</Words>
  <Characters>1988</Characters>
  <Application>Microsoft Office Word</Application>
  <DocSecurity>0</DocSecurity>
  <Lines>16</Lines>
  <Paragraphs>4</Paragraphs>
  <ScaleCrop>false</ScaleCrop>
  <Company/>
  <LinksUpToDate>false</LinksUpToDate>
  <CharactersWithSpaces>2332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2014-11-20T13:29:00Z</dcterms:created>
  <dcterms:modified xsi:type="dcterms:W3CDTF">2014-11-20T13:30:00Z</dcterms:modified>
</cp:coreProperties>
</file>