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47DF" w:rsidRDefault="000747DF" w:rsidP="000747DF">
      <w:pPr>
        <w:spacing w:line="360" w:lineRule="auto"/>
        <w:jc w:val="both"/>
      </w:pPr>
    </w:p>
    <w:p w:rsidR="000747DF" w:rsidRDefault="000747DF" w:rsidP="000747DF">
      <w:pPr>
        <w:spacing w:line="360" w:lineRule="auto"/>
        <w:jc w:val="both"/>
      </w:pPr>
    </w:p>
    <w:p w:rsidR="000747DF" w:rsidRDefault="000747DF" w:rsidP="000747DF">
      <w:pPr>
        <w:spacing w:line="360" w:lineRule="auto"/>
        <w:jc w:val="both"/>
      </w:pPr>
    </w:p>
    <w:p w:rsidR="000747DF" w:rsidRDefault="000747DF" w:rsidP="000747DF">
      <w:pPr>
        <w:spacing w:line="360" w:lineRule="auto"/>
        <w:jc w:val="both"/>
      </w:pPr>
    </w:p>
    <w:p w:rsidR="000747DF" w:rsidRPr="000747DF" w:rsidRDefault="000747DF" w:rsidP="000747DF">
      <w:pPr>
        <w:spacing w:line="360" w:lineRule="auto"/>
        <w:jc w:val="both"/>
        <w:rPr>
          <w:rFonts w:asciiTheme="majorBidi" w:hAnsiTheme="majorBidi" w:cstheme="majorBidi"/>
          <w:sz w:val="32"/>
          <w:szCs w:val="32"/>
        </w:rPr>
      </w:pPr>
      <w:bookmarkStart w:id="0" w:name="_GoBack"/>
      <w:r w:rsidRPr="000747DF">
        <w:rPr>
          <w:rFonts w:asciiTheme="majorBidi" w:hAnsiTheme="majorBidi" w:cstheme="majorBidi"/>
          <w:b/>
          <w:bCs/>
          <w:sz w:val="32"/>
          <w:szCs w:val="32"/>
          <w:u w:val="single"/>
        </w:rPr>
        <w:t>Résumé</w:t>
      </w:r>
      <w:r w:rsidRPr="000747DF">
        <w:rPr>
          <w:rFonts w:asciiTheme="majorBidi" w:hAnsiTheme="majorBidi" w:cstheme="majorBidi"/>
          <w:sz w:val="32"/>
          <w:szCs w:val="32"/>
        </w:rPr>
        <w:t> :</w:t>
      </w:r>
    </w:p>
    <w:bookmarkEnd w:id="0"/>
    <w:p w:rsidR="00E26E3B" w:rsidRPr="000747DF" w:rsidRDefault="000747DF" w:rsidP="000747DF">
      <w:pPr>
        <w:spacing w:line="360" w:lineRule="auto"/>
        <w:jc w:val="both"/>
        <w:rPr>
          <w:rFonts w:asciiTheme="majorBidi" w:hAnsiTheme="majorBidi" w:cstheme="majorBidi"/>
        </w:rPr>
      </w:pPr>
      <w:r w:rsidRPr="000747DF">
        <w:rPr>
          <w:rFonts w:asciiTheme="majorBidi" w:hAnsiTheme="majorBidi" w:cstheme="majorBidi"/>
        </w:rPr>
        <w:t xml:space="preserve">Le travail présenté dans cette thèse porte sur l'étude du plasma d'alumine induit par un laser </w:t>
      </w:r>
      <w:proofErr w:type="spellStart"/>
      <w:r w:rsidRPr="000747DF">
        <w:rPr>
          <w:rFonts w:asciiTheme="majorBidi" w:hAnsiTheme="majorBidi" w:cstheme="majorBidi"/>
        </w:rPr>
        <w:t>KrF</w:t>
      </w:r>
      <w:proofErr w:type="spellEnd"/>
      <w:r w:rsidRPr="000747DF">
        <w:rPr>
          <w:rFonts w:asciiTheme="majorBidi" w:hAnsiTheme="majorBidi" w:cstheme="majorBidi"/>
        </w:rPr>
        <w:t xml:space="preserve"> sous vide et sous atmosphère d'oxygène pour la synthèse de couches minces. Ce plasma est diagnostiqué par imagerie rapide et par spectroscopie d'émission optique pour une fluence laser optimisée à partir de l'évolution de la masse ablatée en fonction de l’</w:t>
      </w:r>
      <w:proofErr w:type="spellStart"/>
      <w:r w:rsidRPr="000747DF">
        <w:rPr>
          <w:rFonts w:asciiTheme="majorBidi" w:hAnsiTheme="majorBidi" w:cstheme="majorBidi"/>
        </w:rPr>
        <w:t>irradiance</w:t>
      </w:r>
      <w:proofErr w:type="spellEnd"/>
      <w:r w:rsidRPr="000747DF">
        <w:rPr>
          <w:rFonts w:asciiTheme="majorBidi" w:hAnsiTheme="majorBidi" w:cstheme="majorBidi"/>
        </w:rPr>
        <w:t xml:space="preserve"> laser. Deux cibles d'alumine avec des puretés différentes ont fait l'objet de cette thèse. Pour la première cible avec une pureté de 89.54 %, une étude par imagerie rapide et par spectroscopie d'émission optique du plasma a été réalisée pour une fluence laser de 8 J/cm². Pour la seconde cible dont la pureté est de 99.99 %, une étude par spectroscopie d'émission optique sous vide et sous ambiance d'oxygène a été accomplie pour une fluence laser de 10 J/cm², choisie à partir de l'évolution de la masse ablatée avec la fluence laser. En plus, le plasma d'alumine a été sondé par un collecteur de charge polarisé avec une tension négative pour collecter les ions positifs.</w:t>
      </w:r>
    </w:p>
    <w:sectPr w:rsidR="00E26E3B" w:rsidRPr="000747D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47DF"/>
    <w:rsid w:val="000747DF"/>
    <w:rsid w:val="00E26E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D85A720-B020-48F9-92CB-2A1F1428A9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162</Words>
  <Characters>891</Characters>
  <Application>Microsoft Office Word</Application>
  <DocSecurity>0</DocSecurity>
  <Lines>7</Lines>
  <Paragraphs>2</Paragraphs>
  <ScaleCrop>false</ScaleCrop>
  <Company/>
  <LinksUpToDate>false</LinksUpToDate>
  <CharactersWithSpaces>1051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naima</dc:creator>
  <cp:keywords/>
  <dc:description/>
  <cp:lastModifiedBy>naima</cp:lastModifiedBy>
  <cp:revision>1</cp:revision>
  <dcterms:created xsi:type="dcterms:W3CDTF">2018-02-11T13:43:00Z</dcterms:created>
  <dcterms:modified xsi:type="dcterms:W3CDTF">2018-02-11T13:45:00Z</dcterms:modified>
</cp:coreProperties>
</file>