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67B3" w:rsidRDefault="00BC67B3" w:rsidP="00BC67B3">
      <w:r>
        <w:t xml:space="preserve">Le thème principal de la thèse concerne l'étude des propriétés combinatoires de suites numériques, telles que les suites  récurrentes linéaires, et plus particulièrement les suites de </w:t>
      </w:r>
      <w:proofErr w:type="spellStart"/>
      <w:r>
        <w:t>Fibonacci</w:t>
      </w:r>
      <w:proofErr w:type="spellEnd"/>
      <w:r>
        <w:t xml:space="preserve">, de Lucas, de Pell, de Pell-Lucas, de </w:t>
      </w:r>
      <w:proofErr w:type="spellStart"/>
      <w:r>
        <w:t>Jacobsthal</w:t>
      </w:r>
      <w:proofErr w:type="spellEnd"/>
      <w:r>
        <w:t xml:space="preserve">, de </w:t>
      </w:r>
      <w:proofErr w:type="spellStart"/>
      <w:r>
        <w:t>Jacobsthal</w:t>
      </w:r>
      <w:proofErr w:type="spellEnd"/>
      <w:r>
        <w:t xml:space="preserve">-Lucas, ainsi que leurs généralisations. D'autres suites, telles que celles liées aux coefficients binomiaux ainsi </w:t>
      </w:r>
    </w:p>
    <w:p w:rsidR="00BC67B3" w:rsidRDefault="00BC67B3" w:rsidP="00BC67B3">
      <w:proofErr w:type="gramStart"/>
      <w:r>
        <w:t>que</w:t>
      </w:r>
      <w:proofErr w:type="gramEnd"/>
      <w:r>
        <w:t xml:space="preserve"> la somme de puissances d'inverses de progressions arithmétiques, sont également abordées. Dans la plupart des  cas, la propriété d'</w:t>
      </w:r>
      <w:proofErr w:type="spellStart"/>
      <w:r>
        <w:t>unimodalité</w:t>
      </w:r>
      <w:proofErr w:type="spellEnd"/>
      <w:r>
        <w:t xml:space="preserve"> de ces suites est établie, et des interprétations combinatoires originales y sont fournies. On  y donne aussi, explicitement, le terme général d'une suite récurrente linéaire d'ordre quelconque. Ce qui permet de</w:t>
      </w:r>
    </w:p>
    <w:p w:rsidR="00BC67B3" w:rsidRDefault="00BC67B3" w:rsidP="00BC67B3">
      <w:r>
        <w:t xml:space="preserve"> </w:t>
      </w:r>
      <w:proofErr w:type="gramStart"/>
      <w:r>
        <w:t>calculer</w:t>
      </w:r>
      <w:proofErr w:type="gramEnd"/>
      <w:r>
        <w:t xml:space="preserve"> les puissances successives de matrices carrées. Des identités combinatoires concernant les nombres de  </w:t>
      </w:r>
      <w:proofErr w:type="spellStart"/>
      <w:r>
        <w:t>Fibonacci</w:t>
      </w:r>
      <w:proofErr w:type="spellEnd"/>
      <w:r>
        <w:t>, les nombres de Stirling, ainsi que d'autres en sont déduites. L'étude des coefficients bi-q-</w:t>
      </w:r>
      <w:proofErr w:type="spellStart"/>
      <w:r>
        <w:t>nomiaux</w:t>
      </w:r>
      <w:proofErr w:type="spellEnd"/>
      <w:r>
        <w:t xml:space="preserve"> est  envisagée. Ces derniers sont des extensions naturelles des éléments du triangle de Pascal. On y établit trois liens</w:t>
      </w:r>
    </w:p>
    <w:p w:rsidR="00BC67B3" w:rsidRDefault="00BC67B3" w:rsidP="00BC67B3">
      <w:r>
        <w:t xml:space="preserve"> </w:t>
      </w:r>
      <w:proofErr w:type="gramStart"/>
      <w:r>
        <w:t>remarquables</w:t>
      </w:r>
      <w:proofErr w:type="gramEnd"/>
      <w:r>
        <w:t xml:space="preserve"> : avec la suite de </w:t>
      </w:r>
      <w:proofErr w:type="spellStart"/>
      <w:r>
        <w:t>Fibonacci</w:t>
      </w:r>
      <w:proofErr w:type="spellEnd"/>
      <w:r>
        <w:t xml:space="preserve"> généralisée, avec les polynômes (partiels) exponentiels de Bell et avec la  convolée de la loi uniforme discrète. Pour cette dernière, on calcule la fonction génératrice correspondante. Des sommes  combinatoires (sommes d'ordre deux et sommes trigonométriques) liées aux nombres de </w:t>
      </w:r>
      <w:proofErr w:type="spellStart"/>
      <w:r>
        <w:t>Fibonacci</w:t>
      </w:r>
      <w:proofErr w:type="spellEnd"/>
      <w:r>
        <w:t xml:space="preserve"> et de Lucas</w:t>
      </w:r>
    </w:p>
    <w:p w:rsidR="00BC67B3" w:rsidRDefault="00BC67B3" w:rsidP="00BC67B3">
      <w:r>
        <w:t xml:space="preserve"> </w:t>
      </w:r>
      <w:proofErr w:type="gramStart"/>
      <w:r>
        <w:t>généralisés</w:t>
      </w:r>
      <w:proofErr w:type="gramEnd"/>
      <w:r>
        <w:t xml:space="preserve"> sont évaluées.  Les polynômes de </w:t>
      </w:r>
      <w:proofErr w:type="spellStart"/>
      <w:r>
        <w:t>Fibonacci</w:t>
      </w:r>
      <w:proofErr w:type="spellEnd"/>
      <w:r>
        <w:t xml:space="preserve"> </w:t>
      </w:r>
      <w:proofErr w:type="spellStart"/>
      <w:r>
        <w:t>bivariés</w:t>
      </w:r>
      <w:proofErr w:type="spellEnd"/>
      <w:r>
        <w:t xml:space="preserve"> généralisés sont également abordés. On y établit  en  premier lieu que les polynômes de </w:t>
      </w:r>
      <w:proofErr w:type="spellStart"/>
      <w:r>
        <w:t>Chebyshev</w:t>
      </w:r>
      <w:proofErr w:type="spellEnd"/>
      <w:r>
        <w:t xml:space="preserve"> de première et seconde espèce ont des coordonnées entières  remarquables dans des bases spécifiques. Le cas général des polynômes </w:t>
      </w:r>
      <w:proofErr w:type="spellStart"/>
      <w:r>
        <w:t>bivariés</w:t>
      </w:r>
      <w:proofErr w:type="spellEnd"/>
      <w:r>
        <w:t xml:space="preserve"> de </w:t>
      </w:r>
      <w:proofErr w:type="spellStart"/>
      <w:r>
        <w:t>Fibonacci</w:t>
      </w:r>
      <w:proofErr w:type="spellEnd"/>
      <w:r>
        <w:t xml:space="preserve"> généralisés est traité en</w:t>
      </w:r>
    </w:p>
    <w:p w:rsidR="00BC67B3" w:rsidRDefault="00BC67B3" w:rsidP="00BC67B3">
      <w:r>
        <w:t xml:space="preserve"> </w:t>
      </w:r>
      <w:proofErr w:type="gramStart"/>
      <w:r>
        <w:t>mettant</w:t>
      </w:r>
      <w:proofErr w:type="gramEnd"/>
      <w:r>
        <w:t xml:space="preserve"> en relief des résultats analogues. </w:t>
      </w:r>
    </w:p>
    <w:p w:rsidR="00BC67B3" w:rsidRDefault="00BC67B3" w:rsidP="00BC67B3">
      <w:r>
        <w:t xml:space="preserve">  La notion de </w:t>
      </w:r>
      <w:proofErr w:type="spellStart"/>
      <w:r>
        <w:t>valuation</w:t>
      </w:r>
      <w:proofErr w:type="spellEnd"/>
      <w:r>
        <w:t xml:space="preserve"> est mise à profit pour prouver que la somme des puissances des inverses d'une progression  arithmétique n'est jamais un entier. Enfin deux inégalités - l'une concernant les formes bilinéaires symétriques positives,  et l'autre une généralisation de l'inégalité de </w:t>
      </w:r>
      <w:proofErr w:type="spellStart"/>
      <w:r>
        <w:t>Buniakowsky</w:t>
      </w:r>
      <w:proofErr w:type="spellEnd"/>
      <w:r>
        <w:t>-Cauchy et de l'identité de Lagrange - sont prouvées. C'est la</w:t>
      </w:r>
    </w:p>
    <w:p w:rsidR="00BC67B3" w:rsidRDefault="00BC67B3" w:rsidP="00BC67B3">
      <w:r>
        <w:t xml:space="preserve"> </w:t>
      </w:r>
      <w:proofErr w:type="gramStart"/>
      <w:r>
        <w:t>version</w:t>
      </w:r>
      <w:proofErr w:type="gramEnd"/>
      <w:r>
        <w:t xml:space="preserve"> de l'</w:t>
      </w:r>
      <w:proofErr w:type="spellStart"/>
      <w:r>
        <w:t>hyperdéterminant</w:t>
      </w:r>
      <w:proofErr w:type="spellEnd"/>
      <w:r>
        <w:t xml:space="preserve"> de Gram discrète. </w:t>
      </w:r>
    </w:p>
    <w:p w:rsidR="00BC67B3" w:rsidRDefault="00BC67B3" w:rsidP="00BC67B3">
      <w:r>
        <w:t xml:space="preserve">  Le travail s'achève par trois annexes. La première introduit la notion de q-norme, où il est établi que toute q-norme est  une norme au sens classique et inversement. La seconde prend en charge une généralisation de l'inégalité de Guo et  Jiang au cas de plusieurs fonctions. La troisième, via une approche combinatoire permet de calculer explicitement les</w:t>
      </w:r>
    </w:p>
    <w:p w:rsidR="00DA0638" w:rsidRDefault="00BC67B3" w:rsidP="00BC67B3">
      <w:r>
        <w:t xml:space="preserve"> </w:t>
      </w:r>
      <w:proofErr w:type="gramStart"/>
      <w:r>
        <w:t>auto-covariances</w:t>
      </w:r>
      <w:proofErr w:type="gramEnd"/>
      <w:r>
        <w:t xml:space="preserve"> données par les équations de </w:t>
      </w:r>
      <w:proofErr w:type="spellStart"/>
      <w:r>
        <w:t>Yule</w:t>
      </w:r>
      <w:proofErr w:type="spellEnd"/>
      <w:r>
        <w:t>-Walker périodiques d'un modèle PARMA.</w:t>
      </w:r>
    </w:p>
    <w:sectPr w:rsidR="00DA0638" w:rsidSect="00DA063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C67B3"/>
    <w:rsid w:val="00BC67B3"/>
    <w:rsid w:val="00DA063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063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411</Words>
  <Characters>2261</Characters>
  <Application>Microsoft Office Word</Application>
  <DocSecurity>0</DocSecurity>
  <Lines>18</Lines>
  <Paragraphs>5</Paragraphs>
  <ScaleCrop>false</ScaleCrop>
  <Company/>
  <LinksUpToDate>false</LinksUpToDate>
  <CharactersWithSpaces>2667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2014-12-10T09:10:00Z</dcterms:created>
  <dcterms:modified xsi:type="dcterms:W3CDTF">2014-12-10T09:11:00Z</dcterms:modified>
</cp:coreProperties>
</file>