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EB7" w:rsidRDefault="00D27007" w:rsidP="005F6835">
      <w:pPr>
        <w:ind w:firstLine="540"/>
        <w:jc w:val="both"/>
      </w:pPr>
      <w:r>
        <w:rPr>
          <w:noProof/>
        </w:rPr>
        <w:pict>
          <v:roundrect id="_x0000_s1030" style="position:absolute;left:0;text-align:left;margin-left:-.85pt;margin-top:-41.85pt;width:463.9pt;height:52.35pt;z-index:-251655168" arcsize="10923f" filled="f">
            <v:textbox style="mso-next-textbox:#_x0000_s1030">
              <w:txbxContent>
                <w:p w:rsidR="006C109C" w:rsidRPr="0070633F" w:rsidRDefault="006C109C" w:rsidP="006C109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</w:rPr>
                  </w:pPr>
                  <w:r w:rsidRPr="0070633F">
                    <w:rPr>
                      <w:rFonts w:asciiTheme="majorBidi" w:hAnsiTheme="majorBidi" w:cstheme="majorBidi"/>
                      <w:b/>
                      <w:bCs/>
                    </w:rPr>
                    <w:t>Contribution à l'étude des instabilités dans le système d'écoulement de Taylor-Couette à configuration cylindrique. Applica</w:t>
                  </w:r>
                  <w:r w:rsidR="00AA747B">
                    <w:rPr>
                      <w:rFonts w:asciiTheme="majorBidi" w:hAnsiTheme="majorBidi" w:cstheme="majorBidi"/>
                      <w:b/>
                      <w:bCs/>
                    </w:rPr>
                    <w:t>tion aux effets de géométrie et</w:t>
                  </w:r>
                  <w:r w:rsidR="00AC6418">
                    <w:rPr>
                      <w:rFonts w:asciiTheme="majorBidi" w:hAnsiTheme="majorBidi" w:cstheme="majorBidi"/>
                      <w:b/>
                      <w:bCs/>
                    </w:rPr>
                    <w:t xml:space="preserve"> </w:t>
                  </w:r>
                  <w:r w:rsidRPr="0070633F">
                    <w:rPr>
                      <w:rFonts w:asciiTheme="majorBidi" w:hAnsiTheme="majorBidi" w:cstheme="majorBidi"/>
                      <w:b/>
                      <w:bCs/>
                    </w:rPr>
                    <w:t>l'influence du champ magnétique</w:t>
                  </w:r>
                </w:p>
                <w:p w:rsidR="006C109C" w:rsidRDefault="006C109C" w:rsidP="006C109C">
                  <w:pPr>
                    <w:jc w:val="center"/>
                  </w:pPr>
                </w:p>
              </w:txbxContent>
            </v:textbox>
          </v:roundrect>
        </w:pict>
      </w:r>
    </w:p>
    <w:p w:rsidR="0070633F" w:rsidRPr="00AC6418" w:rsidRDefault="0070633F" w:rsidP="005F6835">
      <w:pPr>
        <w:ind w:firstLine="540"/>
        <w:jc w:val="center"/>
        <w:rPr>
          <w:b/>
          <w:bCs/>
          <w:sz w:val="6"/>
          <w:szCs w:val="6"/>
        </w:rPr>
      </w:pPr>
    </w:p>
    <w:p w:rsidR="00F25EB7" w:rsidRPr="00F3169C" w:rsidRDefault="00AA747B" w:rsidP="0070633F">
      <w:pPr>
        <w:ind w:firstLine="540"/>
        <w:jc w:val="center"/>
        <w:rPr>
          <w:b/>
          <w:bCs/>
        </w:rPr>
      </w:pPr>
      <w:r>
        <w:rPr>
          <w:b/>
          <w:bCs/>
        </w:rPr>
        <w:t xml:space="preserve">ADNANE </w:t>
      </w:r>
      <w:proofErr w:type="spellStart"/>
      <w:r>
        <w:rPr>
          <w:b/>
          <w:bCs/>
        </w:rPr>
        <w:t>Elm</w:t>
      </w:r>
      <w:r w:rsidR="00F3169C" w:rsidRPr="00F3169C">
        <w:rPr>
          <w:b/>
          <w:bCs/>
        </w:rPr>
        <w:t>ahfoud</w:t>
      </w:r>
      <w:proofErr w:type="spellEnd"/>
      <w:r w:rsidR="0070633F">
        <w:rPr>
          <w:b/>
          <w:bCs/>
        </w:rPr>
        <w:t xml:space="preserve"> *</w:t>
      </w:r>
    </w:p>
    <w:p w:rsidR="00F3169C" w:rsidRPr="0070633F" w:rsidRDefault="00F3169C" w:rsidP="005F6835">
      <w:pPr>
        <w:ind w:firstLine="540"/>
        <w:jc w:val="center"/>
        <w:rPr>
          <w:sz w:val="22"/>
          <w:szCs w:val="22"/>
        </w:rPr>
      </w:pPr>
      <w:r w:rsidRPr="0070633F">
        <w:rPr>
          <w:sz w:val="22"/>
          <w:szCs w:val="22"/>
        </w:rPr>
        <w:t xml:space="preserve">Laboratoire "Thermodynamique et Systèmes Energétique" </w:t>
      </w:r>
    </w:p>
    <w:p w:rsidR="00F3169C" w:rsidRPr="0070633F" w:rsidRDefault="00F3169C" w:rsidP="005F6835">
      <w:pPr>
        <w:ind w:firstLine="540"/>
        <w:jc w:val="center"/>
        <w:rPr>
          <w:sz w:val="22"/>
          <w:szCs w:val="22"/>
        </w:rPr>
      </w:pPr>
      <w:r w:rsidRPr="0070633F">
        <w:rPr>
          <w:sz w:val="22"/>
          <w:szCs w:val="22"/>
        </w:rPr>
        <w:t xml:space="preserve">Département : Energétique et Mécanique des Fluides </w:t>
      </w:r>
    </w:p>
    <w:p w:rsidR="00F25EB7" w:rsidRPr="0070633F" w:rsidRDefault="00D27007" w:rsidP="005F6835">
      <w:pPr>
        <w:ind w:firstLine="54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roundrect id="_x0000_s1027" style="position:absolute;left:0;text-align:left;margin-left:-20.8pt;margin-top:5.7pt;width:520.1pt;height:628.15pt;z-index:251659264" arcsize="1019f" filled="f" strokeweight="4.5pt">
            <v:stroke linestyle="thickThin"/>
          </v:roundrect>
        </w:pict>
      </w:r>
    </w:p>
    <w:p w:rsidR="00F3169C" w:rsidRPr="00B37461" w:rsidRDefault="00F3169C" w:rsidP="005F6835">
      <w:pPr>
        <w:jc w:val="both"/>
        <w:rPr>
          <w:b/>
          <w:bCs/>
        </w:rPr>
      </w:pPr>
      <w:r w:rsidRPr="00B37461">
        <w:rPr>
          <w:b/>
          <w:bCs/>
        </w:rPr>
        <w:t xml:space="preserve">Résumé: </w:t>
      </w:r>
    </w:p>
    <w:p w:rsidR="000240E3" w:rsidRDefault="000240E3" w:rsidP="005630E9">
      <w:pPr>
        <w:ind w:firstLine="540"/>
        <w:jc w:val="both"/>
      </w:pPr>
      <w:r w:rsidRPr="000240E3">
        <w:t>Cette étude a pour but de s’intéresser aux effets combinés de</w:t>
      </w:r>
      <w:r>
        <w:t xml:space="preserve"> l'inclin</w:t>
      </w:r>
      <w:r w:rsidR="005630E9">
        <w:t>aison du système d'écoulement,</w:t>
      </w:r>
      <w:r>
        <w:t xml:space="preserve"> la surface libre </w:t>
      </w:r>
      <w:r w:rsidR="005630E9">
        <w:t xml:space="preserve">ainsi que </w:t>
      </w:r>
      <w:r w:rsidR="00EE7FB2">
        <w:t xml:space="preserve"> le champ magnétique </w:t>
      </w:r>
      <w:r w:rsidRPr="000240E3">
        <w:t xml:space="preserve">sur les conditions  d’apparition des instabilités </w:t>
      </w:r>
      <w:r w:rsidR="005630E9">
        <w:t>et du chaos en régime laminaire-</w:t>
      </w:r>
      <w:r w:rsidRPr="000240E3">
        <w:t>turbulent</w:t>
      </w:r>
      <w:r w:rsidR="005630E9">
        <w:t>.</w:t>
      </w:r>
      <w:r w:rsidR="00025A05">
        <w:t xml:space="preserve"> </w:t>
      </w:r>
      <w:r w:rsidRPr="000240E3">
        <w:t>Il s’agit d’un dispositif d’écoulement définit entre cylindres coaxiaux d</w:t>
      </w:r>
      <w:r w:rsidR="005630E9">
        <w:t>ont l’intérieur est en rotation et</w:t>
      </w:r>
      <w:r w:rsidRPr="000240E3">
        <w:t xml:space="preserve"> l’extérieur étant maintenu fixe.</w:t>
      </w:r>
      <w:r w:rsidR="00025A05">
        <w:t xml:space="preserve"> </w:t>
      </w:r>
    </w:p>
    <w:p w:rsidR="00D27007" w:rsidRDefault="000240E3" w:rsidP="00B37461">
      <w:pPr>
        <w:ind w:firstLine="540"/>
        <w:jc w:val="both"/>
      </w:pPr>
      <w:r w:rsidRPr="000240E3">
        <w:t xml:space="preserve">Ce travail consiste à mettre en évidence l’ensemble des structures observées aux seuils critiques de leur apparition, de suivre l’évolution </w:t>
      </w:r>
      <w:r w:rsidR="005630E9">
        <w:t>des rupture</w:t>
      </w:r>
      <w:r w:rsidR="00623D48">
        <w:t xml:space="preserve">s de </w:t>
      </w:r>
      <w:r w:rsidR="005630E9">
        <w:t xml:space="preserve">symétrie et la </w:t>
      </w:r>
      <w:r w:rsidRPr="000240E3">
        <w:t>dégradation des structures d’ondes au voisinage de la</w:t>
      </w:r>
      <w:r w:rsidR="00EE7FB2">
        <w:t xml:space="preserve"> na</w:t>
      </w:r>
      <w:r w:rsidR="005630E9">
        <w:t>issance du chaos</w:t>
      </w:r>
      <w:r w:rsidR="00EE7FB2">
        <w:t>.</w:t>
      </w:r>
      <w:r w:rsidR="00A80F92">
        <w:t xml:space="preserve"> Ainsi, po</w:t>
      </w:r>
      <w:r w:rsidR="005630E9">
        <w:t>ur une configuration du</w:t>
      </w:r>
      <w:r w:rsidR="00A80F92">
        <w:t xml:space="preserve"> jeu radial </w:t>
      </w:r>
      <w:r w:rsidR="00A80F92">
        <w:sym w:font="Symbol" w:char="F064"/>
      </w:r>
      <w:r w:rsidR="00A80F92">
        <w:t xml:space="preserve">=0.1 et un taux de remplissage du fluide </w:t>
      </w:r>
      <m:oMath>
        <m:r>
          <m:rPr>
            <m:sty m:val="p"/>
          </m:rPr>
          <w:rPr>
            <w:rFonts w:ascii="Cambria Math" w:cstheme="minorHAnsi"/>
          </w:rPr>
          <w:sym w:font="Symbol" w:char="F047"/>
        </m:r>
        <m:r>
          <w:rPr>
            <w:rFonts w:ascii="Cambria Math" w:cstheme="minorHAnsi"/>
          </w:rPr>
          <m:t>=H/d</m:t>
        </m:r>
      </m:oMath>
      <w:r w:rsidR="00A80F92">
        <w:rPr>
          <w:rFonts w:eastAsiaTheme="minorEastAsia"/>
        </w:rPr>
        <w:t xml:space="preserve"> </w:t>
      </w:r>
      <w:r w:rsidR="00A80F92">
        <w:t>donnés</w:t>
      </w:r>
      <w:r w:rsidR="005630E9">
        <w:t xml:space="preserve">, on cherche à déterminer la </w:t>
      </w:r>
    </w:p>
    <w:p w:rsidR="004B6E83" w:rsidRDefault="005630E9" w:rsidP="00B37461">
      <w:pPr>
        <w:ind w:firstLine="540"/>
        <w:jc w:val="both"/>
      </w:pPr>
      <w:bookmarkStart w:id="0" w:name="_GoBack"/>
      <w:bookmarkEnd w:id="0"/>
      <w:r>
        <w:t xml:space="preserve">relation qui existe entre la structure </w:t>
      </w:r>
      <w:r w:rsidR="00A80F92">
        <w:t>cellulaire</w:t>
      </w:r>
      <w:r>
        <w:t xml:space="preserve"> de type Taylor et la formation du tourbillon </w:t>
      </w:r>
      <w:r w:rsidR="00623D48">
        <w:t>d'</w:t>
      </w:r>
      <w:proofErr w:type="spellStart"/>
      <w:r w:rsidR="00623D48">
        <w:t>Eckman</w:t>
      </w:r>
      <w:proofErr w:type="spellEnd"/>
      <w:r w:rsidR="00623D48">
        <w:t>.</w:t>
      </w:r>
      <w:r w:rsidR="00A80F92">
        <w:t xml:space="preserve"> </w:t>
      </w:r>
      <w:r>
        <w:t>En outre</w:t>
      </w:r>
      <w:r w:rsidR="00623D48">
        <w:t>,</w:t>
      </w:r>
      <w:r>
        <w:t xml:space="preserve"> on peut créer des conditions physique</w:t>
      </w:r>
      <w:r w:rsidR="00B37461">
        <w:t>s</w:t>
      </w:r>
      <w:r>
        <w:t xml:space="preserve"> </w:t>
      </w:r>
      <w:r w:rsidR="00623D48">
        <w:t xml:space="preserve">pour </w:t>
      </w:r>
      <w:r>
        <w:t>détruire la stru</w:t>
      </w:r>
      <w:r w:rsidR="00623D48">
        <w:t>cture d'onde</w:t>
      </w:r>
      <w:r w:rsidR="00B37461">
        <w:t xml:space="preserve"> qui </w:t>
      </w:r>
      <w:r w:rsidR="00623D48">
        <w:t xml:space="preserve"> entraine</w:t>
      </w:r>
      <w:r w:rsidR="004B6E83">
        <w:t xml:space="preserve"> la relaminarisation du mouvement soumis à l'influence de l'inclinaison du dispositif. En pratique, on cherche à mettre en </w:t>
      </w:r>
      <w:r w:rsidR="00B37461">
        <w:t>lumière</w:t>
      </w:r>
      <w:r w:rsidR="004B6E83">
        <w:t xml:space="preserve"> l'influence de la gravité combiné</w:t>
      </w:r>
      <w:r w:rsidR="00623D48">
        <w:t>e</w:t>
      </w:r>
      <w:r w:rsidR="004B6E83">
        <w:t xml:space="preserve"> à l'interaction de la surface libre sur les régimes et la nature des </w:t>
      </w:r>
      <w:r w:rsidR="00623D48">
        <w:t xml:space="preserve">instabilités </w:t>
      </w:r>
      <w:r w:rsidR="004B6E83">
        <w:t xml:space="preserve">associées.  </w:t>
      </w:r>
    </w:p>
    <w:p w:rsidR="00EE7FB2" w:rsidRDefault="00B37461" w:rsidP="004A2A1A">
      <w:pPr>
        <w:ind w:firstLine="540"/>
        <w:jc w:val="both"/>
      </w:pPr>
      <w:r>
        <w:t>Cette recherche a</w:t>
      </w:r>
      <w:r w:rsidR="004B6E83">
        <w:t xml:space="preserve"> fait l'objet d'une investigation</w:t>
      </w:r>
      <w:r>
        <w:t xml:space="preserve">  à caractère expérimental</w:t>
      </w:r>
      <w:r w:rsidR="004A2A1A">
        <w:t xml:space="preserve"> et théorique qui se présente en trois parties </w:t>
      </w:r>
      <w:r w:rsidR="00F3169C">
        <w:t xml:space="preserve">:  </w:t>
      </w:r>
      <w:r w:rsidR="00EE7FB2">
        <w:t xml:space="preserve">  </w:t>
      </w:r>
    </w:p>
    <w:p w:rsidR="004A2A1A" w:rsidRDefault="000240E3" w:rsidP="00623D48">
      <w:pPr>
        <w:pStyle w:val="Paragraphedeliste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Theme="majorBidi" w:hAnsiTheme="majorBidi" w:cstheme="majorBidi"/>
          <w:sz w:val="24"/>
          <w:szCs w:val="24"/>
        </w:rPr>
      </w:pPr>
      <w:r w:rsidRPr="004A2A1A">
        <w:rPr>
          <w:rFonts w:asciiTheme="majorBidi" w:hAnsiTheme="majorBidi" w:cstheme="majorBidi"/>
          <w:sz w:val="24"/>
          <w:szCs w:val="24"/>
        </w:rPr>
        <w:t xml:space="preserve">Une étude expérimentale d'abord qui met en évidence les conditions d'apparition de l'instabilité de Taylor </w:t>
      </w:r>
      <w:r w:rsidR="00623D48">
        <w:rPr>
          <w:rFonts w:asciiTheme="majorBidi" w:hAnsiTheme="majorBidi" w:cstheme="majorBidi"/>
          <w:sz w:val="24"/>
          <w:szCs w:val="24"/>
        </w:rPr>
        <w:t>ain</w:t>
      </w:r>
      <w:r w:rsidRPr="004A2A1A">
        <w:rPr>
          <w:rFonts w:asciiTheme="majorBidi" w:hAnsiTheme="majorBidi" w:cstheme="majorBidi"/>
          <w:sz w:val="24"/>
          <w:szCs w:val="24"/>
        </w:rPr>
        <w:t>si</w:t>
      </w:r>
      <w:r w:rsidR="00623D48">
        <w:rPr>
          <w:rFonts w:asciiTheme="majorBidi" w:hAnsiTheme="majorBidi" w:cstheme="majorBidi"/>
          <w:sz w:val="24"/>
          <w:szCs w:val="24"/>
        </w:rPr>
        <w:t xml:space="preserve"> que </w:t>
      </w:r>
      <w:r w:rsidRPr="004A2A1A">
        <w:rPr>
          <w:rFonts w:asciiTheme="majorBidi" w:hAnsiTheme="majorBidi" w:cstheme="majorBidi"/>
          <w:sz w:val="24"/>
          <w:szCs w:val="24"/>
        </w:rPr>
        <w:t xml:space="preserve">l'ensemble des propriétés associées en jouant sur les paramètres </w:t>
      </w:r>
      <w:r w:rsidRPr="00EE7FB2">
        <w:rPr>
          <w:rFonts w:asciiTheme="majorBidi" w:hAnsiTheme="majorBidi" w:cstheme="majorBidi"/>
          <w:sz w:val="24"/>
          <w:szCs w:val="24"/>
        </w:rPr>
        <w:sym w:font="Symbol" w:char="F047"/>
      </w:r>
      <w:r w:rsidRPr="004A2A1A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4A2A1A">
        <w:rPr>
          <w:rFonts w:asciiTheme="majorBidi" w:hAnsiTheme="majorBidi" w:cstheme="majorBidi"/>
          <w:sz w:val="24"/>
          <w:szCs w:val="24"/>
        </w:rPr>
        <w:t xml:space="preserve">et </w:t>
      </w:r>
      <w:proofErr w:type="gramEnd"/>
      <w:r w:rsidRPr="00EE7FB2">
        <w:rPr>
          <w:rFonts w:asciiTheme="majorBidi" w:hAnsiTheme="majorBidi" w:cstheme="majorBidi"/>
          <w:sz w:val="24"/>
          <w:szCs w:val="24"/>
        </w:rPr>
        <w:sym w:font="Symbol" w:char="F061"/>
      </w:r>
      <w:r w:rsidRPr="004A2A1A">
        <w:rPr>
          <w:rFonts w:asciiTheme="majorBidi" w:hAnsiTheme="majorBidi" w:cstheme="majorBidi"/>
          <w:sz w:val="24"/>
          <w:szCs w:val="24"/>
        </w:rPr>
        <w:t>.</w:t>
      </w:r>
      <w:r w:rsidR="00EE7FB2" w:rsidRPr="004A2A1A">
        <w:rPr>
          <w:rFonts w:asciiTheme="majorBidi" w:hAnsiTheme="majorBidi" w:cstheme="majorBidi"/>
          <w:sz w:val="24"/>
          <w:szCs w:val="24"/>
        </w:rPr>
        <w:t xml:space="preserve"> L'inclinaison </w:t>
      </w:r>
      <w:r w:rsidR="00F3169C">
        <w:rPr>
          <w:rFonts w:asciiTheme="majorBidi" w:hAnsiTheme="majorBidi" w:cstheme="majorBidi"/>
          <w:sz w:val="24"/>
          <w:szCs w:val="24"/>
        </w:rPr>
        <w:sym w:font="Symbol" w:char="F061"/>
      </w:r>
      <w:r w:rsidR="00F3169C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EE7FB2" w:rsidRPr="004A2A1A">
        <w:rPr>
          <w:rFonts w:asciiTheme="majorBidi" w:hAnsiTheme="majorBidi" w:cstheme="majorBidi"/>
          <w:sz w:val="24"/>
          <w:szCs w:val="24"/>
        </w:rPr>
        <w:t>semble n'a</w:t>
      </w:r>
      <w:r w:rsidR="00623D48">
        <w:rPr>
          <w:rFonts w:asciiTheme="majorBidi" w:hAnsiTheme="majorBidi" w:cstheme="majorBidi"/>
          <w:sz w:val="24"/>
          <w:szCs w:val="24"/>
        </w:rPr>
        <w:t>voir</w:t>
      </w:r>
      <w:r w:rsidR="00EE7FB2" w:rsidRPr="004A2A1A">
        <w:rPr>
          <w:rFonts w:asciiTheme="majorBidi" w:hAnsiTheme="majorBidi" w:cstheme="majorBidi"/>
          <w:sz w:val="24"/>
          <w:szCs w:val="24"/>
        </w:rPr>
        <w:t xml:space="preserve"> aucun effet sur </w:t>
      </w:r>
      <w:r w:rsidR="00623D48">
        <w:rPr>
          <w:rFonts w:asciiTheme="majorBidi" w:hAnsiTheme="majorBidi" w:cstheme="majorBidi"/>
          <w:sz w:val="24"/>
          <w:szCs w:val="24"/>
        </w:rPr>
        <w:t>le mouvement</w:t>
      </w:r>
      <w:r w:rsidR="00EE7FB2" w:rsidRPr="004A2A1A">
        <w:rPr>
          <w:rFonts w:asciiTheme="majorBidi" w:hAnsiTheme="majorBidi" w:cstheme="majorBidi"/>
          <w:sz w:val="24"/>
          <w:szCs w:val="24"/>
        </w:rPr>
        <w:t xml:space="preserve"> dans le cas </w:t>
      </w:r>
      <w:r w:rsidR="00F3169C" w:rsidRPr="004A2A1A">
        <w:rPr>
          <w:rFonts w:asciiTheme="majorBidi" w:hAnsiTheme="majorBidi" w:cstheme="majorBidi"/>
          <w:sz w:val="24"/>
          <w:szCs w:val="24"/>
        </w:rPr>
        <w:t>où</w:t>
      </w:r>
      <w:r w:rsidR="00623D48">
        <w:rPr>
          <w:rFonts w:asciiTheme="majorBidi" w:hAnsiTheme="majorBidi" w:cstheme="majorBidi"/>
          <w:sz w:val="24"/>
          <w:szCs w:val="24"/>
        </w:rPr>
        <w:t xml:space="preserve"> il y a </w:t>
      </w:r>
      <w:r w:rsidR="00EE7FB2" w:rsidRPr="004A2A1A">
        <w:rPr>
          <w:rFonts w:asciiTheme="majorBidi" w:hAnsiTheme="majorBidi" w:cstheme="majorBidi"/>
          <w:sz w:val="24"/>
          <w:szCs w:val="24"/>
        </w:rPr>
        <w:t>absence de la surface libre</w:t>
      </w:r>
      <w:r w:rsidR="00623D48">
        <w:rPr>
          <w:rFonts w:asciiTheme="majorBidi" w:hAnsiTheme="majorBidi" w:cstheme="majorBidi"/>
          <w:sz w:val="24"/>
          <w:szCs w:val="24"/>
        </w:rPr>
        <w:t xml:space="preserve"> (écoulement en charge)</w:t>
      </w:r>
      <w:r w:rsidR="00EE7FB2" w:rsidRPr="004A2A1A">
        <w:rPr>
          <w:rFonts w:asciiTheme="majorBidi" w:hAnsiTheme="majorBidi" w:cstheme="majorBidi"/>
          <w:sz w:val="24"/>
          <w:szCs w:val="24"/>
        </w:rPr>
        <w:t xml:space="preserve">. Par contre, dans le cas où le dispositif </w:t>
      </w:r>
      <w:r w:rsidR="00F25EB7" w:rsidRPr="004A2A1A">
        <w:rPr>
          <w:rFonts w:asciiTheme="majorBidi" w:hAnsiTheme="majorBidi" w:cstheme="majorBidi"/>
          <w:sz w:val="24"/>
          <w:szCs w:val="24"/>
        </w:rPr>
        <w:t>est partiellement</w:t>
      </w:r>
      <w:r w:rsidR="00F3169C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623D48">
        <w:rPr>
          <w:rFonts w:asciiTheme="majorBidi" w:hAnsiTheme="majorBidi" w:cstheme="majorBidi"/>
          <w:sz w:val="24"/>
          <w:szCs w:val="24"/>
        </w:rPr>
        <w:t xml:space="preserve">rempli </w:t>
      </w:r>
      <w:r w:rsidR="001A6555">
        <w:rPr>
          <w:rFonts w:asciiTheme="majorBidi" w:hAnsiTheme="majorBidi" w:cstheme="majorBidi"/>
          <w:sz w:val="24"/>
          <w:szCs w:val="24"/>
        </w:rPr>
        <w:t xml:space="preserve">et </w:t>
      </w:r>
      <w:r w:rsidR="00F3169C" w:rsidRPr="004A2A1A">
        <w:rPr>
          <w:rFonts w:asciiTheme="majorBidi" w:hAnsiTheme="majorBidi" w:cstheme="majorBidi"/>
          <w:sz w:val="24"/>
          <w:szCs w:val="24"/>
        </w:rPr>
        <w:t>avec surface libre</w:t>
      </w:r>
      <w:r w:rsidR="00623D48">
        <w:rPr>
          <w:rFonts w:asciiTheme="majorBidi" w:hAnsiTheme="majorBidi" w:cstheme="majorBidi"/>
          <w:sz w:val="24"/>
          <w:szCs w:val="24"/>
        </w:rPr>
        <w:t xml:space="preserve"> </w:t>
      </w:r>
      <w:r w:rsidR="00F3169C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F3169C">
        <w:rPr>
          <w:rFonts w:asciiTheme="majorBidi" w:hAnsiTheme="majorBidi" w:cstheme="majorBidi"/>
          <w:sz w:val="24"/>
          <w:szCs w:val="24"/>
        </w:rPr>
        <w:sym w:font="Symbol" w:char="F047"/>
      </w:r>
      <w:r w:rsidR="00025A05" w:rsidRPr="004A2A1A">
        <w:rPr>
          <w:rFonts w:asciiTheme="majorBidi" w:hAnsiTheme="majorBidi" w:cstheme="majorBidi"/>
          <w:sz w:val="24"/>
          <w:szCs w:val="24"/>
        </w:rPr>
        <w:t>&lt;</w:t>
      </w:r>
      <w:r w:rsidR="00025A05">
        <w:rPr>
          <w:rFonts w:asciiTheme="majorBidi" w:hAnsiTheme="majorBidi" w:cstheme="majorBidi"/>
          <w:sz w:val="24"/>
          <w:szCs w:val="24"/>
        </w:rPr>
        <w:sym w:font="Symbol" w:char="F047"/>
      </w:r>
      <w:r w:rsidR="00025A05" w:rsidRPr="004A2A1A">
        <w:rPr>
          <w:rFonts w:asciiTheme="majorBidi" w:hAnsiTheme="majorBidi" w:cstheme="majorBidi"/>
          <w:sz w:val="24"/>
          <w:szCs w:val="24"/>
          <w:vertAlign w:val="subscript"/>
        </w:rPr>
        <w:t>max</w:t>
      </w:r>
      <w:r w:rsidR="00F25EB7" w:rsidRPr="004A2A1A">
        <w:rPr>
          <w:rFonts w:asciiTheme="majorBidi" w:hAnsiTheme="majorBidi" w:cstheme="majorBidi"/>
          <w:sz w:val="24"/>
          <w:szCs w:val="24"/>
        </w:rPr>
        <w:t>, l'inclinaison</w:t>
      </w:r>
      <w:r w:rsidR="00025A05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F25EB7" w:rsidRPr="004A2A1A">
        <w:rPr>
          <w:rFonts w:asciiTheme="majorBidi" w:hAnsiTheme="majorBidi" w:cstheme="majorBidi"/>
          <w:sz w:val="24"/>
          <w:szCs w:val="24"/>
        </w:rPr>
        <w:t>affecte considérablement les régimes et le comportement de l'écoulement, en particulier</w:t>
      </w:r>
      <w:r w:rsidR="00623D48">
        <w:rPr>
          <w:rFonts w:asciiTheme="majorBidi" w:hAnsiTheme="majorBidi" w:cstheme="majorBidi"/>
          <w:sz w:val="24"/>
          <w:szCs w:val="24"/>
        </w:rPr>
        <w:t>,</w:t>
      </w:r>
      <w:r w:rsidR="00F25EB7" w:rsidRPr="004A2A1A">
        <w:rPr>
          <w:rFonts w:asciiTheme="majorBidi" w:hAnsiTheme="majorBidi" w:cstheme="majorBidi"/>
          <w:sz w:val="24"/>
          <w:szCs w:val="24"/>
        </w:rPr>
        <w:t xml:space="preserve"> la disparition des ondes de Taylor et l'apparition d'une zone laminaire prés de la surface libre.</w:t>
      </w:r>
    </w:p>
    <w:p w:rsidR="004A2A1A" w:rsidRDefault="000240E3" w:rsidP="00623D48">
      <w:pPr>
        <w:pStyle w:val="Paragraphedeliste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Theme="majorBidi" w:hAnsiTheme="majorBidi" w:cstheme="majorBidi"/>
          <w:sz w:val="24"/>
          <w:szCs w:val="24"/>
        </w:rPr>
      </w:pPr>
      <w:r w:rsidRPr="004A2A1A">
        <w:rPr>
          <w:rFonts w:asciiTheme="majorBidi" w:hAnsiTheme="majorBidi" w:cstheme="majorBidi"/>
          <w:sz w:val="24"/>
          <w:szCs w:val="24"/>
        </w:rPr>
        <w:t>Une étude théorique par simulation numérique qui vise à retrouver les résultats expérimentaux permettant de faciliter grandement l'interprétation et l'explication des mécanismes d'apparition et de disparition de ces phénomènes très complexes.</w:t>
      </w:r>
      <w:r w:rsidR="00623D48">
        <w:rPr>
          <w:rFonts w:asciiTheme="majorBidi" w:hAnsiTheme="majorBidi" w:cstheme="majorBidi"/>
          <w:sz w:val="24"/>
          <w:szCs w:val="24"/>
        </w:rPr>
        <w:t xml:space="preserve"> Le tracé</w:t>
      </w:r>
      <w:r w:rsidR="00025A05" w:rsidRPr="004A2A1A">
        <w:rPr>
          <w:rFonts w:asciiTheme="majorBidi" w:hAnsiTheme="majorBidi" w:cstheme="majorBidi"/>
          <w:sz w:val="24"/>
          <w:szCs w:val="24"/>
        </w:rPr>
        <w:t xml:space="preserve"> des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025A05" w:rsidRPr="004A2A1A">
        <w:rPr>
          <w:rFonts w:asciiTheme="majorBidi" w:hAnsiTheme="majorBidi" w:cstheme="majorBidi"/>
          <w:sz w:val="24"/>
          <w:szCs w:val="24"/>
        </w:rPr>
        <w:t>évolution</w:t>
      </w:r>
      <w:r w:rsidR="005F6835" w:rsidRPr="004A2A1A">
        <w:rPr>
          <w:rFonts w:asciiTheme="majorBidi" w:hAnsiTheme="majorBidi" w:cstheme="majorBidi"/>
          <w:sz w:val="24"/>
          <w:szCs w:val="24"/>
        </w:rPr>
        <w:t>s</w:t>
      </w:r>
      <w:r w:rsidR="00AC6418">
        <w:rPr>
          <w:rFonts w:asciiTheme="majorBidi" w:hAnsiTheme="majorBidi" w:cstheme="majorBidi"/>
          <w:sz w:val="24"/>
          <w:szCs w:val="24"/>
        </w:rPr>
        <w:t xml:space="preserve"> des composantes du</w:t>
      </w:r>
      <w:r w:rsidR="00025A05" w:rsidRPr="004A2A1A">
        <w:rPr>
          <w:rFonts w:asciiTheme="majorBidi" w:hAnsiTheme="majorBidi" w:cstheme="majorBidi"/>
          <w:sz w:val="24"/>
          <w:szCs w:val="24"/>
        </w:rPr>
        <w:t xml:space="preserve"> champ de vitesse et la représentation de la fonction de courant</w:t>
      </w:r>
      <w:r w:rsidR="004A2A1A" w:rsidRPr="004A2A1A">
        <w:rPr>
          <w:rFonts w:asciiTheme="majorBidi" w:hAnsiTheme="majorBidi" w:cstheme="majorBidi"/>
          <w:sz w:val="24"/>
          <w:szCs w:val="24"/>
        </w:rPr>
        <w:t xml:space="preserve"> a</w:t>
      </w:r>
      <w:r w:rsidR="00A80F92" w:rsidRPr="004A2A1A">
        <w:rPr>
          <w:rFonts w:asciiTheme="majorBidi" w:hAnsiTheme="majorBidi" w:cstheme="majorBidi"/>
          <w:sz w:val="24"/>
          <w:szCs w:val="24"/>
        </w:rPr>
        <w:t xml:space="preserve"> permis de mettre en évidence</w:t>
      </w:r>
      <w:r w:rsidR="004A2A1A" w:rsidRPr="004A2A1A">
        <w:rPr>
          <w:rFonts w:asciiTheme="majorBidi" w:hAnsiTheme="majorBidi" w:cstheme="majorBidi"/>
          <w:sz w:val="24"/>
          <w:szCs w:val="24"/>
        </w:rPr>
        <w:t xml:space="preserve"> l'effet de </w:t>
      </w:r>
      <w:r w:rsidR="00A80F92" w:rsidRPr="004A2A1A">
        <w:rPr>
          <w:rFonts w:asciiTheme="majorBidi" w:hAnsiTheme="majorBidi" w:cstheme="majorBidi"/>
          <w:sz w:val="24"/>
          <w:szCs w:val="24"/>
        </w:rPr>
        <w:t xml:space="preserve">l'écoulement axial qui </w:t>
      </w:r>
      <w:r w:rsidR="004A2A1A">
        <w:rPr>
          <w:rFonts w:asciiTheme="majorBidi" w:hAnsiTheme="majorBidi" w:cstheme="majorBidi"/>
          <w:sz w:val="24"/>
          <w:szCs w:val="24"/>
        </w:rPr>
        <w:t>contribue à détruire</w:t>
      </w:r>
      <w:r w:rsidR="00A80F92" w:rsidRPr="004A2A1A">
        <w:rPr>
          <w:rFonts w:asciiTheme="majorBidi" w:hAnsiTheme="majorBidi" w:cstheme="majorBidi"/>
          <w:sz w:val="24"/>
          <w:szCs w:val="24"/>
        </w:rPr>
        <w:t xml:space="preserve"> les </w:t>
      </w:r>
      <w:r w:rsidR="00623D48">
        <w:rPr>
          <w:rFonts w:asciiTheme="majorBidi" w:hAnsiTheme="majorBidi" w:cstheme="majorBidi"/>
          <w:sz w:val="24"/>
          <w:szCs w:val="24"/>
        </w:rPr>
        <w:t>cellules</w:t>
      </w:r>
      <w:r w:rsidR="00A80F92" w:rsidRPr="004A2A1A">
        <w:rPr>
          <w:rFonts w:asciiTheme="majorBidi" w:hAnsiTheme="majorBidi" w:cstheme="majorBidi"/>
          <w:sz w:val="24"/>
          <w:szCs w:val="24"/>
        </w:rPr>
        <w:t xml:space="preserve"> de Taylor dans le cas </w:t>
      </w:r>
      <w:r w:rsidR="00A80F92">
        <w:rPr>
          <w:rFonts w:asciiTheme="majorBidi" w:hAnsiTheme="majorBidi" w:cstheme="majorBidi"/>
          <w:sz w:val="24"/>
          <w:szCs w:val="24"/>
        </w:rPr>
        <w:sym w:font="Symbol" w:char="F047"/>
      </w:r>
      <w:r w:rsidR="00A80F92" w:rsidRPr="004A2A1A">
        <w:rPr>
          <w:rFonts w:asciiTheme="majorBidi" w:hAnsiTheme="majorBidi" w:cstheme="majorBidi"/>
          <w:sz w:val="24"/>
          <w:szCs w:val="24"/>
        </w:rPr>
        <w:t>&lt;</w:t>
      </w:r>
      <w:r w:rsidR="004A2A1A">
        <w:rPr>
          <w:rFonts w:asciiTheme="majorBidi" w:hAnsiTheme="majorBidi" w:cstheme="majorBidi"/>
          <w:sz w:val="24"/>
          <w:szCs w:val="24"/>
        </w:rPr>
        <w:sym w:font="Symbol" w:char="F047"/>
      </w:r>
      <w:r w:rsidR="004A2A1A" w:rsidRPr="004A2A1A">
        <w:rPr>
          <w:rFonts w:asciiTheme="majorBidi" w:hAnsiTheme="majorBidi" w:cstheme="majorBidi"/>
          <w:sz w:val="24"/>
          <w:szCs w:val="24"/>
          <w:vertAlign w:val="subscript"/>
        </w:rPr>
        <w:t>max</w:t>
      </w:r>
      <w:r w:rsidR="00A80F92" w:rsidRPr="004A2A1A">
        <w:rPr>
          <w:rFonts w:asciiTheme="majorBidi" w:hAnsiTheme="majorBidi" w:cstheme="majorBidi"/>
          <w:sz w:val="24"/>
          <w:szCs w:val="24"/>
        </w:rPr>
        <w:t xml:space="preserve"> et </w:t>
      </w:r>
      <w:r w:rsidR="00A80F92">
        <w:rPr>
          <w:rFonts w:asciiTheme="majorBidi" w:hAnsiTheme="majorBidi" w:cstheme="majorBidi"/>
          <w:sz w:val="24"/>
          <w:szCs w:val="24"/>
        </w:rPr>
        <w:sym w:font="Symbol" w:char="F061"/>
      </w:r>
      <w:r w:rsidR="00A80F92">
        <w:rPr>
          <w:rFonts w:asciiTheme="majorBidi" w:hAnsiTheme="majorBidi" w:cstheme="majorBidi"/>
          <w:sz w:val="24"/>
          <w:szCs w:val="24"/>
        </w:rPr>
        <w:sym w:font="Symbol" w:char="F0B9"/>
      </w:r>
      <w:r w:rsidR="00A80F92" w:rsidRPr="004A2A1A">
        <w:rPr>
          <w:rFonts w:asciiTheme="majorBidi" w:hAnsiTheme="majorBidi" w:cstheme="majorBidi"/>
          <w:sz w:val="24"/>
          <w:szCs w:val="24"/>
        </w:rPr>
        <w:t>0.</w:t>
      </w:r>
    </w:p>
    <w:p w:rsidR="005F6835" w:rsidRPr="004A2A1A" w:rsidRDefault="00F16FC9" w:rsidP="00AA747B">
      <w:pPr>
        <w:pStyle w:val="Paragraphedeliste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Theme="majorBidi" w:hAnsiTheme="majorBidi" w:cstheme="majorBidi"/>
          <w:sz w:val="24"/>
          <w:szCs w:val="24"/>
        </w:rPr>
      </w:pPr>
      <w:r w:rsidRPr="004A2A1A">
        <w:rPr>
          <w:rFonts w:asciiTheme="majorBidi" w:hAnsiTheme="majorBidi" w:cstheme="majorBidi"/>
          <w:sz w:val="24"/>
          <w:szCs w:val="24"/>
        </w:rPr>
        <w:t xml:space="preserve">Une étude analytique </w:t>
      </w:r>
      <w:r w:rsidR="005F6835" w:rsidRPr="004A2A1A">
        <w:rPr>
          <w:rFonts w:asciiTheme="majorBidi" w:hAnsiTheme="majorBidi" w:cstheme="majorBidi"/>
          <w:sz w:val="24"/>
          <w:szCs w:val="24"/>
        </w:rPr>
        <w:t>est consacré</w:t>
      </w:r>
      <w:r w:rsidR="00623D48">
        <w:rPr>
          <w:rFonts w:asciiTheme="majorBidi" w:hAnsiTheme="majorBidi" w:cstheme="majorBidi"/>
          <w:sz w:val="24"/>
          <w:szCs w:val="24"/>
        </w:rPr>
        <w:t>e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à la formulation </w:t>
      </w:r>
      <w:r w:rsidR="00AC6418">
        <w:rPr>
          <w:rFonts w:asciiTheme="majorBidi" w:hAnsiTheme="majorBidi" w:cstheme="majorBidi"/>
          <w:sz w:val="24"/>
          <w:szCs w:val="24"/>
        </w:rPr>
        <w:t xml:space="preserve">du système </w:t>
      </w:r>
      <w:r w:rsidR="005F6835" w:rsidRPr="004A2A1A">
        <w:rPr>
          <w:rFonts w:asciiTheme="majorBidi" w:hAnsiTheme="majorBidi" w:cstheme="majorBidi"/>
          <w:sz w:val="24"/>
          <w:szCs w:val="24"/>
        </w:rPr>
        <w:t>d</w:t>
      </w:r>
      <w:r w:rsidR="00AC6418">
        <w:rPr>
          <w:rFonts w:asciiTheme="majorBidi" w:hAnsiTheme="majorBidi" w:cstheme="majorBidi"/>
          <w:sz w:val="24"/>
          <w:szCs w:val="24"/>
        </w:rPr>
        <w:t>'</w:t>
      </w:r>
      <w:r w:rsidR="005F6835" w:rsidRPr="004A2A1A">
        <w:rPr>
          <w:rFonts w:asciiTheme="majorBidi" w:hAnsiTheme="majorBidi" w:cstheme="majorBidi"/>
          <w:sz w:val="24"/>
          <w:szCs w:val="24"/>
        </w:rPr>
        <w:t>équations du mouvement définie par les </w:t>
      </w:r>
      <w:hyperlink r:id="rId6" w:tooltip="Équations de Navier-Stokes" w:history="1">
        <w:r w:rsidR="005F6835" w:rsidRPr="004A2A1A">
          <w:rPr>
            <w:rFonts w:asciiTheme="majorBidi" w:hAnsiTheme="majorBidi" w:cstheme="majorBidi"/>
            <w:sz w:val="24"/>
            <w:szCs w:val="24"/>
          </w:rPr>
          <w:t>équations de Navier-Stokes</w:t>
        </w:r>
      </w:hyperlink>
      <w:r w:rsidR="00AC6418">
        <w:rPr>
          <w:rFonts w:asciiTheme="majorBidi" w:hAnsiTheme="majorBidi" w:cstheme="majorBidi"/>
          <w:sz w:val="24"/>
          <w:szCs w:val="24"/>
        </w:rPr>
        <w:t xml:space="preserve"> (</w:t>
      </w:r>
      <w:r w:rsidR="005F6835" w:rsidRPr="004A2A1A">
        <w:rPr>
          <w:rFonts w:asciiTheme="majorBidi" w:hAnsiTheme="majorBidi" w:cstheme="majorBidi"/>
          <w:sz w:val="24"/>
          <w:szCs w:val="24"/>
        </w:rPr>
        <w:t>Hydrodynamique) couplée</w:t>
      </w:r>
      <w:r w:rsidR="00AC6418">
        <w:rPr>
          <w:rFonts w:asciiTheme="majorBidi" w:hAnsiTheme="majorBidi" w:cstheme="majorBidi"/>
          <w:sz w:val="24"/>
          <w:szCs w:val="24"/>
        </w:rPr>
        <w:t>s aux équations de Maxwell (E</w:t>
      </w:r>
      <w:r w:rsidR="005F6835" w:rsidRPr="004A2A1A">
        <w:rPr>
          <w:rFonts w:asciiTheme="majorBidi" w:hAnsiTheme="majorBidi" w:cstheme="majorBidi"/>
          <w:sz w:val="24"/>
          <w:szCs w:val="24"/>
        </w:rPr>
        <w:t>lectromagnétisme)</w:t>
      </w:r>
      <w:r w:rsidR="00623D48">
        <w:rPr>
          <w:rFonts w:asciiTheme="majorBidi" w:hAnsiTheme="majorBidi" w:cstheme="majorBidi"/>
          <w:sz w:val="24"/>
          <w:szCs w:val="24"/>
        </w:rPr>
        <w:t>.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623D48">
        <w:rPr>
          <w:rFonts w:asciiTheme="majorBidi" w:hAnsiTheme="majorBidi" w:cstheme="majorBidi"/>
          <w:sz w:val="24"/>
          <w:szCs w:val="24"/>
        </w:rPr>
        <w:t xml:space="preserve">Ceci </w:t>
      </w:r>
      <w:r w:rsidR="004A2A1A">
        <w:rPr>
          <w:rFonts w:asciiTheme="majorBidi" w:hAnsiTheme="majorBidi" w:cstheme="majorBidi"/>
          <w:sz w:val="24"/>
          <w:szCs w:val="24"/>
        </w:rPr>
        <w:t xml:space="preserve">a permis d'élaborer </w:t>
      </w:r>
      <w:r w:rsidR="005F6835" w:rsidRPr="004A2A1A">
        <w:rPr>
          <w:rFonts w:asciiTheme="majorBidi" w:hAnsiTheme="majorBidi" w:cstheme="majorBidi"/>
          <w:sz w:val="24"/>
          <w:szCs w:val="24"/>
        </w:rPr>
        <w:t>une théorie linéaire de la stabilité du mouvement qui a pour but l’examen de ces effets sur la structure de l’écoulement.</w:t>
      </w:r>
      <w:r w:rsidR="00AA747B">
        <w:rPr>
          <w:rFonts w:asciiTheme="majorBidi" w:hAnsiTheme="majorBidi" w:cstheme="majorBidi"/>
          <w:sz w:val="24"/>
          <w:szCs w:val="24"/>
        </w:rPr>
        <w:t xml:space="preserve"> Dans ces conditions</w:t>
      </w:r>
      <w:r w:rsidR="004A2A1A">
        <w:rPr>
          <w:rFonts w:asciiTheme="majorBidi" w:hAnsiTheme="majorBidi" w:cstheme="majorBidi"/>
          <w:sz w:val="24"/>
          <w:szCs w:val="24"/>
        </w:rPr>
        <w:t xml:space="preserve">, 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on adopte une représentation de coordonnées adéquate</w:t>
      </w:r>
      <w:r w:rsidR="00AC6418">
        <w:rPr>
          <w:rFonts w:asciiTheme="majorBidi" w:hAnsiTheme="majorBidi" w:cstheme="majorBidi"/>
          <w:sz w:val="24"/>
          <w:szCs w:val="24"/>
        </w:rPr>
        <w:t>s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afin de faire la prévision de la stru</w:t>
      </w:r>
      <w:r w:rsidR="00401ED7">
        <w:rPr>
          <w:rFonts w:asciiTheme="majorBidi" w:hAnsiTheme="majorBidi" w:cstheme="majorBidi"/>
          <w:sz w:val="24"/>
          <w:szCs w:val="24"/>
        </w:rPr>
        <w:t>cture de l’écoulement de Taylor-</w:t>
      </w:r>
      <w:r w:rsidR="005F6835" w:rsidRPr="004A2A1A">
        <w:rPr>
          <w:rFonts w:asciiTheme="majorBidi" w:hAnsiTheme="majorBidi" w:cstheme="majorBidi"/>
          <w:sz w:val="24"/>
          <w:szCs w:val="24"/>
        </w:rPr>
        <w:t>Couette en position inclinée sous l'effet d</w:t>
      </w:r>
      <w:r w:rsidR="00623D48">
        <w:rPr>
          <w:rFonts w:asciiTheme="majorBidi" w:hAnsiTheme="majorBidi" w:cstheme="majorBidi"/>
          <w:sz w:val="24"/>
          <w:szCs w:val="24"/>
        </w:rPr>
        <w:t>'</w:t>
      </w:r>
      <w:r w:rsidR="005F6835" w:rsidRPr="004A2A1A">
        <w:rPr>
          <w:rFonts w:asciiTheme="majorBidi" w:hAnsiTheme="majorBidi" w:cstheme="majorBidi"/>
          <w:sz w:val="24"/>
          <w:szCs w:val="24"/>
        </w:rPr>
        <w:t>u</w:t>
      </w:r>
      <w:r w:rsidR="00623D48">
        <w:rPr>
          <w:rFonts w:asciiTheme="majorBidi" w:hAnsiTheme="majorBidi" w:cstheme="majorBidi"/>
          <w:sz w:val="24"/>
          <w:szCs w:val="24"/>
        </w:rPr>
        <w:t xml:space="preserve">n </w:t>
      </w:r>
      <w:r w:rsidR="005F6835" w:rsidRPr="004A2A1A">
        <w:rPr>
          <w:rFonts w:asciiTheme="majorBidi" w:hAnsiTheme="majorBidi" w:cstheme="majorBidi"/>
          <w:sz w:val="24"/>
          <w:szCs w:val="24"/>
        </w:rPr>
        <w:t>champ magnétique axiale</w:t>
      </w:r>
      <w:r w:rsidR="00623D48">
        <w:rPr>
          <w:rFonts w:asciiTheme="majorBidi" w:hAnsiTheme="majorBidi" w:cstheme="majorBidi"/>
          <w:sz w:val="24"/>
          <w:szCs w:val="24"/>
        </w:rPr>
        <w:t xml:space="preserve"> uniforme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. </w:t>
      </w:r>
      <w:r w:rsidR="004A2A1A">
        <w:rPr>
          <w:rFonts w:asciiTheme="majorBidi" w:hAnsiTheme="majorBidi" w:cstheme="majorBidi"/>
          <w:sz w:val="24"/>
          <w:szCs w:val="24"/>
        </w:rPr>
        <w:t xml:space="preserve"> Dans une première étape</w:t>
      </w:r>
      <w:r w:rsidR="00337A45">
        <w:rPr>
          <w:rFonts w:asciiTheme="majorBidi" w:hAnsiTheme="majorBidi" w:cstheme="majorBidi"/>
          <w:sz w:val="24"/>
          <w:szCs w:val="24"/>
        </w:rPr>
        <w:t>,</w:t>
      </w:r>
      <w:r w:rsidR="004A2A1A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151E62">
        <w:rPr>
          <w:rFonts w:asciiTheme="majorBidi" w:hAnsiTheme="majorBidi" w:cstheme="majorBidi"/>
          <w:sz w:val="24"/>
          <w:szCs w:val="24"/>
        </w:rPr>
        <w:t xml:space="preserve">on </w:t>
      </w:r>
      <w:r w:rsidR="00527EC9">
        <w:rPr>
          <w:rFonts w:asciiTheme="majorBidi" w:hAnsiTheme="majorBidi" w:cstheme="majorBidi"/>
          <w:sz w:val="24"/>
          <w:szCs w:val="24"/>
        </w:rPr>
        <w:t xml:space="preserve">résout les </w:t>
      </w:r>
      <w:r w:rsidR="005F6835" w:rsidRPr="004A2A1A">
        <w:rPr>
          <w:rFonts w:asciiTheme="majorBidi" w:hAnsiTheme="majorBidi" w:cstheme="majorBidi"/>
          <w:sz w:val="24"/>
          <w:szCs w:val="24"/>
        </w:rPr>
        <w:t>équations</w:t>
      </w:r>
      <w:r w:rsidR="00527EC9">
        <w:rPr>
          <w:rFonts w:asciiTheme="majorBidi" w:hAnsiTheme="majorBidi" w:cstheme="majorBidi"/>
          <w:sz w:val="24"/>
          <w:szCs w:val="24"/>
        </w:rPr>
        <w:t xml:space="preserve"> linéaire</w:t>
      </w:r>
      <w:r w:rsidR="00AA747B">
        <w:rPr>
          <w:rFonts w:asciiTheme="majorBidi" w:hAnsiTheme="majorBidi" w:cstheme="majorBidi"/>
          <w:sz w:val="24"/>
          <w:szCs w:val="24"/>
        </w:rPr>
        <w:t>s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de la stabilité </w:t>
      </w:r>
      <w:r w:rsidR="00337A45">
        <w:rPr>
          <w:rFonts w:asciiTheme="majorBidi" w:hAnsiTheme="majorBidi" w:cstheme="majorBidi"/>
          <w:sz w:val="24"/>
          <w:szCs w:val="24"/>
        </w:rPr>
        <w:t>dans l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e cas particulier où le champ magnétique est </w:t>
      </w:r>
      <w:r w:rsidR="009D7277">
        <w:rPr>
          <w:rFonts w:asciiTheme="majorBidi" w:hAnsiTheme="majorBidi" w:cstheme="majorBidi"/>
          <w:sz w:val="24"/>
          <w:szCs w:val="24"/>
        </w:rPr>
        <w:t>supposé</w:t>
      </w:r>
      <w:r w:rsidR="00337A45">
        <w:rPr>
          <w:rFonts w:asciiTheme="majorBidi" w:hAnsiTheme="majorBidi" w:cstheme="majorBidi"/>
          <w:sz w:val="24"/>
          <w:szCs w:val="24"/>
        </w:rPr>
        <w:t xml:space="preserve"> nul. </w:t>
      </w:r>
      <w:r w:rsidR="00AC6418">
        <w:rPr>
          <w:rFonts w:asciiTheme="majorBidi" w:hAnsiTheme="majorBidi" w:cstheme="majorBidi"/>
          <w:sz w:val="24"/>
          <w:szCs w:val="24"/>
        </w:rPr>
        <w:t>Par la suite</w:t>
      </w:r>
      <w:r w:rsidR="00337A45">
        <w:rPr>
          <w:rFonts w:asciiTheme="majorBidi" w:hAnsiTheme="majorBidi" w:cstheme="majorBidi"/>
          <w:sz w:val="24"/>
          <w:szCs w:val="24"/>
        </w:rPr>
        <w:t>, au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moyen de la méthode de Gal</w:t>
      </w:r>
      <w:r w:rsidR="00337A45">
        <w:rPr>
          <w:rFonts w:asciiTheme="majorBidi" w:hAnsiTheme="majorBidi" w:cstheme="majorBidi"/>
          <w:sz w:val="24"/>
          <w:szCs w:val="24"/>
        </w:rPr>
        <w:t>e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rkin </w:t>
      </w:r>
      <w:r w:rsidR="00337A45">
        <w:rPr>
          <w:rFonts w:asciiTheme="majorBidi" w:hAnsiTheme="majorBidi" w:cstheme="majorBidi"/>
          <w:sz w:val="24"/>
          <w:szCs w:val="24"/>
        </w:rPr>
        <w:t xml:space="preserve">limitée </w:t>
      </w:r>
      <w:r w:rsidR="005F6835" w:rsidRPr="004A2A1A">
        <w:rPr>
          <w:rFonts w:asciiTheme="majorBidi" w:hAnsiTheme="majorBidi" w:cstheme="majorBidi"/>
          <w:sz w:val="24"/>
          <w:szCs w:val="24"/>
        </w:rPr>
        <w:t>à l'ordre 1 et 2, on est conduit à établir</w:t>
      </w:r>
      <w:r w:rsidR="00337A45">
        <w:rPr>
          <w:rFonts w:asciiTheme="majorBidi" w:hAnsiTheme="majorBidi" w:cstheme="majorBidi"/>
          <w:sz w:val="24"/>
          <w:szCs w:val="24"/>
        </w:rPr>
        <w:t xml:space="preserve"> une relation de dispersion de laquelle on déduit </w:t>
      </w:r>
      <w:r w:rsidR="005F6835" w:rsidRPr="004A2A1A">
        <w:rPr>
          <w:rFonts w:asciiTheme="majorBidi" w:hAnsiTheme="majorBidi" w:cstheme="majorBidi"/>
          <w:sz w:val="24"/>
          <w:szCs w:val="24"/>
        </w:rPr>
        <w:t>le diagramme de s</w:t>
      </w:r>
      <w:r w:rsidR="00337A45">
        <w:rPr>
          <w:rFonts w:asciiTheme="majorBidi" w:hAnsiTheme="majorBidi" w:cstheme="majorBidi"/>
          <w:sz w:val="24"/>
          <w:szCs w:val="24"/>
        </w:rPr>
        <w:t>tabilité valable au voisinage du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seuil critique Tc</w:t>
      </w:r>
      <w:r w:rsidR="005F6835" w:rsidRPr="009D7277"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de l’apparition de l’onde axiale </w:t>
      </w:r>
      <w:r w:rsidR="009D7277">
        <w:rPr>
          <w:rFonts w:asciiTheme="majorBidi" w:hAnsiTheme="majorBidi" w:cstheme="majorBidi"/>
          <w:sz w:val="24"/>
          <w:szCs w:val="24"/>
        </w:rPr>
        <w:t>en fonction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 </w:t>
      </w:r>
      <w:r w:rsidR="00337A45">
        <w:rPr>
          <w:rFonts w:asciiTheme="majorBidi" w:hAnsiTheme="majorBidi" w:cstheme="majorBidi"/>
          <w:sz w:val="24"/>
          <w:szCs w:val="24"/>
        </w:rPr>
        <w:t xml:space="preserve">du nombre d'onde </w:t>
      </w:r>
      <w:r w:rsidR="00337A45" w:rsidRPr="00337A45">
        <w:rPr>
          <w:rFonts w:ascii="Euclid" w:hAnsi="Euclid" w:cstheme="majorBidi"/>
          <w:i/>
          <w:iCs/>
          <w:sz w:val="24"/>
          <w:szCs w:val="24"/>
        </w:rPr>
        <w:t>k</w:t>
      </w:r>
      <w:r w:rsidR="00337A45">
        <w:rPr>
          <w:rFonts w:asciiTheme="majorBidi" w:hAnsiTheme="majorBidi" w:cstheme="majorBidi"/>
          <w:sz w:val="24"/>
          <w:szCs w:val="24"/>
        </w:rPr>
        <w:t xml:space="preserve">  </w:t>
      </w:r>
      <w:r w:rsidR="00AC6418">
        <w:rPr>
          <w:rFonts w:asciiTheme="majorBidi" w:hAnsiTheme="majorBidi" w:cstheme="majorBidi"/>
          <w:sz w:val="24"/>
          <w:szCs w:val="24"/>
        </w:rPr>
        <w:t xml:space="preserve">et </w:t>
      </w:r>
      <w:r w:rsidR="00337A45">
        <w:rPr>
          <w:rFonts w:asciiTheme="majorBidi" w:hAnsiTheme="majorBidi" w:cstheme="majorBidi"/>
          <w:sz w:val="24"/>
          <w:szCs w:val="24"/>
        </w:rPr>
        <w:t>du coefficient d'</w:t>
      </w:r>
      <w:r w:rsidR="005F6835" w:rsidRPr="004A2A1A">
        <w:rPr>
          <w:rFonts w:asciiTheme="majorBidi" w:hAnsiTheme="majorBidi" w:cstheme="majorBidi"/>
          <w:sz w:val="24"/>
          <w:szCs w:val="24"/>
        </w:rPr>
        <w:t xml:space="preserve">amplification </w:t>
      </w:r>
      <w:r w:rsidR="005F6835" w:rsidRPr="009D7277">
        <w:rPr>
          <w:rFonts w:ascii="Euclid" w:hAnsi="Euclid" w:cstheme="majorBidi"/>
          <w:i/>
          <w:iCs/>
          <w:sz w:val="24"/>
          <w:szCs w:val="24"/>
        </w:rPr>
        <w:t>p</w:t>
      </w:r>
      <w:r w:rsidR="00337A45">
        <w:rPr>
          <w:rFonts w:ascii="Euclid" w:hAnsi="Euclid" w:cstheme="majorBidi"/>
          <w:sz w:val="24"/>
          <w:szCs w:val="24"/>
        </w:rPr>
        <w:t xml:space="preserve"> </w:t>
      </w:r>
      <w:r w:rsidR="00AC6418">
        <w:rPr>
          <w:rFonts w:asciiTheme="majorBidi" w:hAnsiTheme="majorBidi" w:cstheme="majorBidi"/>
          <w:sz w:val="24"/>
          <w:szCs w:val="24"/>
        </w:rPr>
        <w:t>correspondant à</w:t>
      </w:r>
      <w:r w:rsidR="00337A45" w:rsidRPr="0070633F">
        <w:rPr>
          <w:rFonts w:asciiTheme="majorBidi" w:hAnsiTheme="majorBidi" w:cstheme="majorBidi"/>
          <w:sz w:val="24"/>
          <w:szCs w:val="24"/>
        </w:rPr>
        <w:t xml:space="preserve"> l'angle d'inclinaison </w:t>
      </w:r>
      <w:r w:rsidR="00337A45" w:rsidRPr="0070633F">
        <w:rPr>
          <w:rFonts w:asciiTheme="majorBidi" w:hAnsiTheme="majorBidi" w:cstheme="majorBidi"/>
          <w:sz w:val="24"/>
          <w:szCs w:val="24"/>
        </w:rPr>
        <w:sym w:font="Symbol" w:char="F061"/>
      </w:r>
      <w:r w:rsidR="005F6835" w:rsidRPr="004A2A1A">
        <w:rPr>
          <w:rFonts w:asciiTheme="majorBidi" w:hAnsiTheme="majorBidi" w:cstheme="majorBidi"/>
          <w:sz w:val="24"/>
          <w:szCs w:val="24"/>
        </w:rPr>
        <w:t>.</w:t>
      </w:r>
    </w:p>
    <w:p w:rsidR="00623D48" w:rsidRPr="00623D48" w:rsidRDefault="00623D48" w:rsidP="009D7277">
      <w:pPr>
        <w:jc w:val="both"/>
        <w:rPr>
          <w:rFonts w:asciiTheme="majorBidi" w:hAnsiTheme="majorBidi" w:cstheme="majorBidi"/>
          <w:b/>
          <w:bCs/>
          <w:sz w:val="14"/>
          <w:szCs w:val="14"/>
        </w:rPr>
      </w:pPr>
    </w:p>
    <w:p w:rsidR="00EE7FB2" w:rsidRPr="00EE7FB2" w:rsidRDefault="00EE7FB2" w:rsidP="005F6835">
      <w:pPr>
        <w:pStyle w:val="Paragraphedeliste"/>
        <w:spacing w:after="0" w:line="24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</w:p>
    <w:p w:rsidR="000240E3" w:rsidRPr="000240E3" w:rsidRDefault="000240E3" w:rsidP="005F6835">
      <w:pPr>
        <w:ind w:firstLine="540"/>
        <w:jc w:val="both"/>
      </w:pPr>
    </w:p>
    <w:sectPr w:rsidR="000240E3" w:rsidRPr="000240E3" w:rsidSect="009D7277">
      <w:pgSz w:w="11906" w:h="16838"/>
      <w:pgMar w:top="1417" w:right="991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Euclid">
    <w:altName w:val="Bell MT"/>
    <w:charset w:val="00"/>
    <w:family w:val="roman"/>
    <w:pitch w:val="variable"/>
    <w:sig w:usb0="00000003" w:usb1="0000000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A5803"/>
    <w:multiLevelType w:val="hybridMultilevel"/>
    <w:tmpl w:val="A50652B6"/>
    <w:lvl w:ilvl="0" w:tplc="B5E46CB0">
      <w:start w:val="1"/>
      <w:numFmt w:val="bullet"/>
      <w:lvlText w:val="¾"/>
      <w:lvlJc w:val="left"/>
      <w:pPr>
        <w:ind w:left="1483" w:hanging="360"/>
      </w:pPr>
      <w:rPr>
        <w:rFonts w:ascii="Symbol" w:hAnsi="Symbol" w:hint="default"/>
      </w:rPr>
    </w:lvl>
    <w:lvl w:ilvl="1" w:tplc="B5E46CB0">
      <w:start w:val="1"/>
      <w:numFmt w:val="bullet"/>
      <w:lvlText w:val="¾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EC6174"/>
    <w:multiLevelType w:val="hybridMultilevel"/>
    <w:tmpl w:val="F88491DA"/>
    <w:lvl w:ilvl="0" w:tplc="B5E46CB0">
      <w:start w:val="1"/>
      <w:numFmt w:val="bullet"/>
      <w:lvlText w:val="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240E3"/>
    <w:rsid w:val="000240E3"/>
    <w:rsid w:val="00025A05"/>
    <w:rsid w:val="00151E62"/>
    <w:rsid w:val="001A04F7"/>
    <w:rsid w:val="001A6555"/>
    <w:rsid w:val="002932FF"/>
    <w:rsid w:val="002B6FBA"/>
    <w:rsid w:val="002C2712"/>
    <w:rsid w:val="002E0F53"/>
    <w:rsid w:val="00337A45"/>
    <w:rsid w:val="00401ED7"/>
    <w:rsid w:val="00416BFD"/>
    <w:rsid w:val="004500CB"/>
    <w:rsid w:val="004A2A1A"/>
    <w:rsid w:val="004B6E83"/>
    <w:rsid w:val="00527EC9"/>
    <w:rsid w:val="00557C5C"/>
    <w:rsid w:val="005630E9"/>
    <w:rsid w:val="005C011F"/>
    <w:rsid w:val="005F6835"/>
    <w:rsid w:val="00623D48"/>
    <w:rsid w:val="00681AAF"/>
    <w:rsid w:val="006C109C"/>
    <w:rsid w:val="006F52BF"/>
    <w:rsid w:val="0070633F"/>
    <w:rsid w:val="00715C73"/>
    <w:rsid w:val="007C2359"/>
    <w:rsid w:val="0085549A"/>
    <w:rsid w:val="00993D0B"/>
    <w:rsid w:val="009D7277"/>
    <w:rsid w:val="00A80F92"/>
    <w:rsid w:val="00AA747B"/>
    <w:rsid w:val="00AC6418"/>
    <w:rsid w:val="00AD73CC"/>
    <w:rsid w:val="00AD77A6"/>
    <w:rsid w:val="00AE7FD3"/>
    <w:rsid w:val="00AF75A7"/>
    <w:rsid w:val="00B37461"/>
    <w:rsid w:val="00BD05E0"/>
    <w:rsid w:val="00BD7F62"/>
    <w:rsid w:val="00D27007"/>
    <w:rsid w:val="00ED71D9"/>
    <w:rsid w:val="00EE7FB2"/>
    <w:rsid w:val="00F16FC9"/>
    <w:rsid w:val="00F25EB7"/>
    <w:rsid w:val="00F3169C"/>
    <w:rsid w:val="00FA69AA"/>
    <w:rsid w:val="00FC3602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0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240E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80F9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0F92"/>
    <w:rPr>
      <w:rFonts w:ascii="Tahoma" w:eastAsia="Times New Roman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r.wikipedia.org/wiki/%C3%89quations_de_Navier-Stoke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582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sakr</dc:creator>
  <cp:lastModifiedBy>b-13</cp:lastModifiedBy>
  <cp:revision>11</cp:revision>
  <cp:lastPrinted>2018-07-09T12:55:00Z</cp:lastPrinted>
  <dcterms:created xsi:type="dcterms:W3CDTF">2018-03-06T09:45:00Z</dcterms:created>
  <dcterms:modified xsi:type="dcterms:W3CDTF">2019-09-12T12:20:00Z</dcterms:modified>
</cp:coreProperties>
</file>