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80919" w:rsidRPr="00780919" w:rsidRDefault="00780919" w:rsidP="00780919">
      <w:pPr>
        <w:bidi w:val="0"/>
        <w:rPr>
          <w:lang w:val="fr-FR" w:bidi="ar-DZ"/>
        </w:rPr>
      </w:pPr>
      <w:r w:rsidRPr="00780919">
        <w:rPr>
          <w:lang w:val="fr-FR" w:bidi="ar-DZ"/>
        </w:rPr>
        <w:t xml:space="preserve">La spectroscopie électronique  est observée  dans la région UV Visible du domaine  des  radiations électromagnétique.  Elle concerne surtout les électrons de valence avec des énergies de l'ordre de 240 à 1200 </w:t>
      </w:r>
      <w:proofErr w:type="spellStart"/>
      <w:r w:rsidRPr="00780919">
        <w:rPr>
          <w:lang w:val="fr-FR" w:bidi="ar-DZ"/>
        </w:rPr>
        <w:t>kj.mol</w:t>
      </w:r>
      <w:proofErr w:type="spellEnd"/>
      <w:r w:rsidRPr="00780919">
        <w:rPr>
          <w:lang w:val="fr-FR" w:bidi="ar-DZ"/>
        </w:rPr>
        <w:t>-1, qui sont  bien supérieures aux énergies mises en jeu par la vibration ou la rotation. Les spectres observés résultent de transitions entre deux états  électroniques différents, par exemple : l'état fondamental et  l'état excité.</w:t>
      </w:r>
    </w:p>
    <w:p w:rsidR="00780919" w:rsidRPr="00780919" w:rsidRDefault="00780919" w:rsidP="00780919">
      <w:pPr>
        <w:bidi w:val="0"/>
        <w:rPr>
          <w:lang w:val="fr-FR" w:bidi="ar-DZ"/>
        </w:rPr>
      </w:pPr>
      <w:r w:rsidRPr="00780919">
        <w:rPr>
          <w:lang w:val="fr-FR" w:bidi="ar-DZ"/>
        </w:rPr>
        <w:t xml:space="preserve">Le développement des ordinateurs permet l'utilisation des  méthodes ab </w:t>
      </w:r>
      <w:proofErr w:type="spellStart"/>
      <w:r w:rsidRPr="00780919">
        <w:rPr>
          <w:lang w:val="fr-FR" w:bidi="ar-DZ"/>
        </w:rPr>
        <w:t>initio</w:t>
      </w:r>
      <w:proofErr w:type="spellEnd"/>
      <w:r w:rsidRPr="00780919">
        <w:rPr>
          <w:lang w:val="fr-FR" w:bidi="ar-DZ"/>
        </w:rPr>
        <w:t xml:space="preserve"> et DFT très sophistiquées, qui facilitent l'étude théorique de cette spectroscopie. </w:t>
      </w:r>
    </w:p>
    <w:p w:rsidR="00780919" w:rsidRPr="00780919" w:rsidRDefault="00780919" w:rsidP="00780919">
      <w:pPr>
        <w:bidi w:val="0"/>
        <w:rPr>
          <w:lang w:val="fr-FR" w:bidi="ar-DZ"/>
        </w:rPr>
      </w:pPr>
      <w:r w:rsidRPr="00780919">
        <w:rPr>
          <w:lang w:val="fr-FR" w:bidi="ar-DZ"/>
        </w:rPr>
        <w:t>La molécule diatomique de tellure de zinc (</w:t>
      </w:r>
      <w:proofErr w:type="spellStart"/>
      <w:r w:rsidRPr="00780919">
        <w:rPr>
          <w:lang w:val="fr-FR" w:bidi="ar-DZ"/>
        </w:rPr>
        <w:t>ZnTe</w:t>
      </w:r>
      <w:proofErr w:type="spellEnd"/>
      <w:r w:rsidRPr="00780919">
        <w:rPr>
          <w:lang w:val="fr-FR" w:bidi="ar-DZ"/>
        </w:rPr>
        <w:t>)  et ses  ions serviront de support matériel</w:t>
      </w:r>
    </w:p>
    <w:p w:rsidR="00780919" w:rsidRPr="00780919" w:rsidRDefault="00780919" w:rsidP="00780919">
      <w:pPr>
        <w:bidi w:val="0"/>
        <w:rPr>
          <w:lang w:val="fr-FR" w:bidi="ar-DZ"/>
        </w:rPr>
      </w:pPr>
      <w:proofErr w:type="spellStart"/>
      <w:r w:rsidRPr="00780919">
        <w:rPr>
          <w:lang w:val="fr-FR" w:bidi="ar-DZ"/>
        </w:rPr>
        <w:t>ZnTe</w:t>
      </w:r>
      <w:proofErr w:type="spellEnd"/>
      <w:r w:rsidRPr="00780919">
        <w:rPr>
          <w:lang w:val="fr-FR" w:bidi="ar-DZ"/>
        </w:rPr>
        <w:t xml:space="preserve"> appartient à la famille des composés formés à partir des atomes des groupes II et V du tableau  périodique, ce qui  la classe parmi les systèmes inorganique métal-ligand, dont le zinc joue le rôle du métal et le tellure le rôle du ligand.</w:t>
      </w:r>
    </w:p>
    <w:p w:rsidR="00780919" w:rsidRPr="00780919" w:rsidRDefault="00780919" w:rsidP="00780919">
      <w:pPr>
        <w:bidi w:val="0"/>
        <w:rPr>
          <w:lang w:val="fr-FR" w:bidi="ar-DZ"/>
        </w:rPr>
      </w:pPr>
      <w:r w:rsidRPr="00780919">
        <w:rPr>
          <w:lang w:val="fr-FR" w:bidi="ar-DZ"/>
        </w:rPr>
        <w:t xml:space="preserve">Les composés issus des atomes précités ont connu, récemment un grand développement, en raison de leurs applications prometteuses dans les dispositifs optoélectroniques. Ils sont utilisés  dans divers domaines comme  la luminescence électronique, la détection du rayonnement THZ  ainsi que la rectification optique. </w:t>
      </w:r>
    </w:p>
    <w:p w:rsidR="00780919" w:rsidRPr="00780919" w:rsidRDefault="00780919" w:rsidP="00780919">
      <w:pPr>
        <w:bidi w:val="0"/>
        <w:rPr>
          <w:lang w:val="fr-FR" w:bidi="ar-DZ"/>
        </w:rPr>
      </w:pPr>
      <w:r w:rsidRPr="00780919">
        <w:rPr>
          <w:lang w:val="fr-FR" w:bidi="ar-DZ"/>
        </w:rPr>
        <w:t xml:space="preserve">Les travaux effectués pour ce mémoire de Magister consistent en l'étude : </w:t>
      </w:r>
    </w:p>
    <w:p w:rsidR="00780919" w:rsidRPr="00780919" w:rsidRDefault="00780919" w:rsidP="00780919">
      <w:pPr>
        <w:bidi w:val="0"/>
        <w:rPr>
          <w:lang w:val="fr-FR" w:bidi="ar-DZ"/>
        </w:rPr>
      </w:pPr>
      <w:r w:rsidRPr="00780919">
        <w:rPr>
          <w:lang w:val="fr-FR" w:bidi="ar-DZ"/>
        </w:rPr>
        <w:t xml:space="preserve">- de la molécule </w:t>
      </w:r>
      <w:proofErr w:type="spellStart"/>
      <w:r w:rsidRPr="00780919">
        <w:rPr>
          <w:lang w:val="fr-FR" w:bidi="ar-DZ"/>
        </w:rPr>
        <w:t>ZnTe</w:t>
      </w:r>
      <w:proofErr w:type="spellEnd"/>
      <w:r w:rsidRPr="00780919">
        <w:rPr>
          <w:lang w:val="fr-FR" w:bidi="ar-DZ"/>
        </w:rPr>
        <w:t xml:space="preserve"> (X1+) et ses ions </w:t>
      </w:r>
      <w:proofErr w:type="spellStart"/>
      <w:r w:rsidRPr="00780919">
        <w:rPr>
          <w:lang w:val="fr-FR" w:bidi="ar-DZ"/>
        </w:rPr>
        <w:t>ZnTe</w:t>
      </w:r>
      <w:proofErr w:type="spellEnd"/>
      <w:r w:rsidRPr="00780919">
        <w:rPr>
          <w:lang w:val="fr-FR" w:bidi="ar-DZ"/>
        </w:rPr>
        <w:t xml:space="preserve">+ (X2) et </w:t>
      </w:r>
      <w:proofErr w:type="spellStart"/>
      <w:r w:rsidRPr="00780919">
        <w:rPr>
          <w:lang w:val="fr-FR" w:bidi="ar-DZ"/>
        </w:rPr>
        <w:t>ZnTe</w:t>
      </w:r>
      <w:proofErr w:type="spellEnd"/>
      <w:r w:rsidRPr="00780919">
        <w:rPr>
          <w:lang w:val="fr-FR" w:bidi="ar-DZ"/>
        </w:rPr>
        <w:t>-(X 3)  à l'état fondamental.</w:t>
      </w:r>
    </w:p>
    <w:p w:rsidR="00780919" w:rsidRPr="00780919" w:rsidRDefault="00780919" w:rsidP="00780919">
      <w:pPr>
        <w:bidi w:val="0"/>
        <w:rPr>
          <w:lang w:val="fr-FR" w:bidi="ar-DZ"/>
        </w:rPr>
      </w:pPr>
      <w:r w:rsidRPr="00780919">
        <w:rPr>
          <w:lang w:val="fr-FR" w:bidi="ar-DZ"/>
        </w:rPr>
        <w:t xml:space="preserve">- des états excités de la molécule </w:t>
      </w:r>
      <w:proofErr w:type="spellStart"/>
      <w:r w:rsidRPr="00780919">
        <w:rPr>
          <w:lang w:val="fr-FR" w:bidi="ar-DZ"/>
        </w:rPr>
        <w:t>ZnTe</w:t>
      </w:r>
      <w:proofErr w:type="spellEnd"/>
      <w:r w:rsidRPr="00780919">
        <w:rPr>
          <w:lang w:val="fr-FR" w:bidi="ar-DZ"/>
        </w:rPr>
        <w:t xml:space="preserve"> (A1,  B1, etc.).</w:t>
      </w:r>
    </w:p>
    <w:p w:rsidR="00780919" w:rsidRPr="00780919" w:rsidRDefault="00780919" w:rsidP="00780919">
      <w:pPr>
        <w:bidi w:val="0"/>
        <w:rPr>
          <w:lang w:val="fr-FR" w:bidi="ar-DZ"/>
        </w:rPr>
      </w:pPr>
      <w:r w:rsidRPr="00780919">
        <w:rPr>
          <w:lang w:val="fr-FR" w:bidi="ar-DZ"/>
        </w:rPr>
        <w:t xml:space="preserve">Les  méthodes de calcul dérivant du Cadre Hartree </w:t>
      </w:r>
      <w:proofErr w:type="spellStart"/>
      <w:r w:rsidRPr="00780919">
        <w:rPr>
          <w:lang w:val="fr-FR" w:bidi="ar-DZ"/>
        </w:rPr>
        <w:t>Fock</w:t>
      </w:r>
      <w:proofErr w:type="spellEnd"/>
      <w:r w:rsidRPr="00780919">
        <w:rPr>
          <w:lang w:val="fr-FR" w:bidi="ar-DZ"/>
        </w:rPr>
        <w:t xml:space="preserve">, post HF et  DFT  utilisées avec  différentes bases  sont rassemblées dans les  deux logiciels  </w:t>
      </w:r>
      <w:proofErr w:type="spellStart"/>
      <w:r w:rsidRPr="00780919">
        <w:rPr>
          <w:lang w:val="fr-FR" w:bidi="ar-DZ"/>
        </w:rPr>
        <w:t>Gaussian</w:t>
      </w:r>
      <w:proofErr w:type="spellEnd"/>
      <w:r w:rsidRPr="00780919">
        <w:rPr>
          <w:lang w:val="fr-FR" w:bidi="ar-DZ"/>
        </w:rPr>
        <w:t xml:space="preserve"> (G03) et ADF (07). </w:t>
      </w:r>
    </w:p>
    <w:p w:rsidR="00780919" w:rsidRPr="00780919" w:rsidRDefault="00780919" w:rsidP="00780919">
      <w:pPr>
        <w:bidi w:val="0"/>
        <w:rPr>
          <w:lang w:val="fr-FR" w:bidi="ar-DZ"/>
        </w:rPr>
      </w:pPr>
      <w:r w:rsidRPr="00780919">
        <w:rPr>
          <w:lang w:val="fr-FR" w:bidi="ar-DZ"/>
        </w:rPr>
        <w:t xml:space="preserve">Etant donné que les systèmes  contiennent des atomes lourds, la prise en charge  partielle et complète, des effets  relativistes  a été considérée   ; ce qui permet d'apprécier l'influence respective de ces effets. </w:t>
      </w:r>
    </w:p>
    <w:p w:rsidR="00780919" w:rsidRPr="00780919" w:rsidRDefault="00780919" w:rsidP="00780919">
      <w:pPr>
        <w:bidi w:val="0"/>
        <w:rPr>
          <w:lang w:val="fr-FR" w:bidi="ar-DZ"/>
        </w:rPr>
      </w:pPr>
      <w:r w:rsidRPr="00780919">
        <w:rPr>
          <w:lang w:val="fr-FR" w:bidi="ar-DZ"/>
        </w:rPr>
        <w:t>La comparaison entre les résultats obtenus par les deux logiciels et les données expérimentales existantes,  sert de base à la vérification de la validité des modèles théoriques</w:t>
      </w:r>
    </w:p>
    <w:p w:rsidR="0008289F" w:rsidRPr="00780919" w:rsidRDefault="00780919" w:rsidP="00780919">
      <w:pPr>
        <w:bidi w:val="0"/>
        <w:rPr>
          <w:rFonts w:hint="cs"/>
          <w:lang w:val="fr-FR" w:bidi="ar-DZ"/>
        </w:rPr>
      </w:pPr>
      <w:proofErr w:type="gramStart"/>
      <w:r w:rsidRPr="00780919">
        <w:rPr>
          <w:lang w:val="fr-FR" w:bidi="ar-DZ"/>
        </w:rPr>
        <w:t>des</w:t>
      </w:r>
      <w:proofErr w:type="gramEnd"/>
      <w:r w:rsidRPr="00780919">
        <w:rPr>
          <w:lang w:val="fr-FR" w:bidi="ar-DZ"/>
        </w:rPr>
        <w:t xml:space="preserve"> systèmes étudiés dans leur  état fondamental et excité.</w:t>
      </w:r>
    </w:p>
    <w:sectPr w:rsidR="0008289F" w:rsidRPr="00780919" w:rsidSect="005F47AF">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780919"/>
    <w:rsid w:val="0008289F"/>
    <w:rsid w:val="005F47AF"/>
    <w:rsid w:val="00780919"/>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8289F"/>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316</Words>
  <Characters>1802</Characters>
  <Application>Microsoft Office Word</Application>
  <DocSecurity>0</DocSecurity>
  <Lines>15</Lines>
  <Paragraphs>4</Paragraphs>
  <ScaleCrop>false</ScaleCrop>
  <Company/>
  <LinksUpToDate>false</LinksUpToDate>
  <CharactersWithSpaces>2114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lila</dc:creator>
  <cp:lastModifiedBy>lila</cp:lastModifiedBy>
  <cp:revision>1</cp:revision>
  <dcterms:created xsi:type="dcterms:W3CDTF">2015-10-21T07:29:00Z</dcterms:created>
  <dcterms:modified xsi:type="dcterms:W3CDTF">2015-10-21T07:29:00Z</dcterms:modified>
</cp:coreProperties>
</file>