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63EB" w:rsidRPr="00B963EB" w:rsidRDefault="00B963EB" w:rsidP="00B963EB">
      <w:pPr>
        <w:spacing w:after="0" w:line="240" w:lineRule="auto"/>
        <w:ind w:firstLine="708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B963EB">
        <w:rPr>
          <w:rFonts w:asciiTheme="majorBidi" w:hAnsiTheme="majorBidi" w:cstheme="majorBidi"/>
          <w:b/>
          <w:bCs/>
          <w:sz w:val="24"/>
          <w:szCs w:val="24"/>
        </w:rPr>
        <w:t>Résumé du résumé</w:t>
      </w:r>
    </w:p>
    <w:p w:rsidR="00B963EB" w:rsidRDefault="00B963EB" w:rsidP="00B963EB">
      <w:pPr>
        <w:spacing w:after="0" w:line="24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</w:p>
    <w:p w:rsidR="00630153" w:rsidRPr="006E0954" w:rsidRDefault="00630153" w:rsidP="003E6048">
      <w:pPr>
        <w:spacing w:after="0" w:line="24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6E0954">
        <w:rPr>
          <w:rFonts w:asciiTheme="majorBidi" w:hAnsiTheme="majorBidi" w:cstheme="majorBidi"/>
          <w:sz w:val="24"/>
          <w:szCs w:val="24"/>
        </w:rPr>
        <w:t>Les dystrophies musculaires progressives sont une excellente illustration des pathologies génétiques présentant une hétérogénéité phénotypique et génétique.</w:t>
      </w:r>
      <w:r w:rsidRPr="00630153">
        <w:rPr>
          <w:rFonts w:asciiTheme="majorBidi" w:hAnsiTheme="majorBidi" w:cstheme="majorBidi"/>
          <w:sz w:val="24"/>
          <w:szCs w:val="24"/>
        </w:rPr>
        <w:t xml:space="preserve"> </w:t>
      </w:r>
      <w:r w:rsidRPr="006E0954">
        <w:rPr>
          <w:rFonts w:asciiTheme="majorBidi" w:hAnsiTheme="majorBidi" w:cstheme="majorBidi"/>
          <w:sz w:val="24"/>
          <w:szCs w:val="24"/>
        </w:rPr>
        <w:t>Dans le cadre de notre travail, nous avons tenté à travers deux approches moléculaires di</w:t>
      </w:r>
      <w:r w:rsidR="003E6048">
        <w:rPr>
          <w:rFonts w:asciiTheme="majorBidi" w:hAnsiTheme="majorBidi" w:cstheme="majorBidi"/>
          <w:sz w:val="24"/>
          <w:szCs w:val="24"/>
        </w:rPr>
        <w:t>fférentes de rechercher</w:t>
      </w:r>
      <w:r w:rsidRPr="006E0954">
        <w:rPr>
          <w:rFonts w:asciiTheme="majorBidi" w:hAnsiTheme="majorBidi" w:cstheme="majorBidi"/>
          <w:sz w:val="24"/>
          <w:szCs w:val="24"/>
        </w:rPr>
        <w:t xml:space="preserve"> les altérations génétiq</w:t>
      </w:r>
      <w:r w:rsidR="003E6048">
        <w:rPr>
          <w:rFonts w:asciiTheme="majorBidi" w:hAnsiTheme="majorBidi" w:cstheme="majorBidi"/>
          <w:sz w:val="24"/>
          <w:szCs w:val="24"/>
        </w:rPr>
        <w:t>ues à l’origine</w:t>
      </w:r>
      <w:r w:rsidRPr="006E0954">
        <w:rPr>
          <w:rFonts w:asciiTheme="majorBidi" w:hAnsiTheme="majorBidi" w:cstheme="majorBidi"/>
          <w:sz w:val="24"/>
          <w:szCs w:val="24"/>
        </w:rPr>
        <w:t xml:space="preserve"> d’une dystrophie musculaire progressive </w:t>
      </w:r>
      <w:r>
        <w:rPr>
          <w:rFonts w:asciiTheme="majorBidi" w:hAnsiTheme="majorBidi" w:cstheme="majorBidi"/>
          <w:sz w:val="24"/>
          <w:szCs w:val="24"/>
        </w:rPr>
        <w:t>au sein</w:t>
      </w:r>
      <w:r w:rsidRPr="006E0954">
        <w:rPr>
          <w:rFonts w:asciiTheme="majorBidi" w:hAnsiTheme="majorBidi" w:cstheme="majorBidi"/>
          <w:sz w:val="24"/>
          <w:szCs w:val="24"/>
        </w:rPr>
        <w:t xml:space="preserve"> d’un panel de 233 patients.</w:t>
      </w:r>
      <w:r w:rsidRPr="00630153">
        <w:rPr>
          <w:rFonts w:asciiTheme="majorBidi" w:hAnsiTheme="majorBidi" w:cstheme="majorBidi"/>
          <w:sz w:val="24"/>
          <w:szCs w:val="24"/>
        </w:rPr>
        <w:t xml:space="preserve"> </w:t>
      </w:r>
      <w:r w:rsidRPr="006E0954">
        <w:rPr>
          <w:rFonts w:asciiTheme="majorBidi" w:hAnsiTheme="majorBidi" w:cstheme="majorBidi"/>
          <w:sz w:val="24"/>
          <w:szCs w:val="24"/>
        </w:rPr>
        <w:t xml:space="preserve">Grâce à </w:t>
      </w:r>
      <w:r w:rsidR="00B963EB">
        <w:rPr>
          <w:rFonts w:asciiTheme="majorBidi" w:hAnsiTheme="majorBidi" w:cstheme="majorBidi"/>
          <w:sz w:val="24"/>
          <w:szCs w:val="24"/>
        </w:rPr>
        <w:t>ces approches de criblage</w:t>
      </w:r>
      <w:r w:rsidRPr="006E0954">
        <w:rPr>
          <w:rFonts w:asciiTheme="majorBidi" w:hAnsiTheme="majorBidi" w:cstheme="majorBidi"/>
          <w:sz w:val="24"/>
          <w:szCs w:val="24"/>
        </w:rPr>
        <w:t xml:space="preserve">, nous avons pu </w:t>
      </w:r>
      <w:r w:rsidR="00B963EB">
        <w:rPr>
          <w:rFonts w:asciiTheme="majorBidi" w:hAnsiTheme="majorBidi" w:cstheme="majorBidi"/>
          <w:sz w:val="24"/>
          <w:szCs w:val="24"/>
        </w:rPr>
        <w:t xml:space="preserve">caractériser au plan génétique </w:t>
      </w:r>
      <w:r w:rsidRPr="006E0954">
        <w:rPr>
          <w:rFonts w:asciiTheme="majorBidi" w:hAnsiTheme="majorBidi" w:cstheme="majorBidi"/>
          <w:sz w:val="24"/>
          <w:szCs w:val="24"/>
        </w:rPr>
        <w:t xml:space="preserve">ces maladies extrêmement invalidantes en Algérie. </w:t>
      </w:r>
      <w:r w:rsidR="003E6048">
        <w:rPr>
          <w:rFonts w:asciiTheme="majorBidi" w:hAnsiTheme="majorBidi" w:cstheme="majorBidi"/>
          <w:sz w:val="24"/>
          <w:szCs w:val="24"/>
        </w:rPr>
        <w:t>De plus,</w:t>
      </w:r>
      <w:r w:rsidRPr="006E0954">
        <w:rPr>
          <w:rFonts w:asciiTheme="majorBidi" w:hAnsiTheme="majorBidi" w:cstheme="majorBidi"/>
          <w:sz w:val="24"/>
          <w:szCs w:val="24"/>
        </w:rPr>
        <w:t xml:space="preserve"> ces résultats </w:t>
      </w:r>
      <w:r w:rsidR="003E6048">
        <w:rPr>
          <w:rFonts w:asciiTheme="majorBidi" w:hAnsiTheme="majorBidi" w:cstheme="majorBidi"/>
          <w:sz w:val="24"/>
          <w:szCs w:val="24"/>
        </w:rPr>
        <w:t>sont importants</w:t>
      </w:r>
      <w:r w:rsidRPr="006E0954">
        <w:rPr>
          <w:rFonts w:asciiTheme="majorBidi" w:hAnsiTheme="majorBidi" w:cstheme="majorBidi"/>
          <w:sz w:val="24"/>
          <w:szCs w:val="24"/>
        </w:rPr>
        <w:t xml:space="preserve"> pour la création d’un registre national des patients atteints de dystrophies musculaires</w:t>
      </w:r>
      <w:r w:rsidR="003E6048">
        <w:rPr>
          <w:rFonts w:asciiTheme="majorBidi" w:hAnsiTheme="majorBidi" w:cstheme="majorBidi"/>
          <w:sz w:val="24"/>
          <w:szCs w:val="24"/>
        </w:rPr>
        <w:t>.</w:t>
      </w:r>
    </w:p>
    <w:p w:rsidR="0032626D" w:rsidRDefault="0032626D"/>
    <w:sectPr w:rsidR="0032626D" w:rsidSect="003262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630153"/>
    <w:rsid w:val="0032626D"/>
    <w:rsid w:val="003E6048"/>
    <w:rsid w:val="00630153"/>
    <w:rsid w:val="00B963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015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102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2016-01-31T22:46:00Z</dcterms:created>
  <dcterms:modified xsi:type="dcterms:W3CDTF">2016-02-01T01:13:00Z</dcterms:modified>
</cp:coreProperties>
</file>