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150" w:rsidRPr="00E56150" w:rsidRDefault="00E56150" w:rsidP="00E56150">
      <w:r w:rsidRPr="00E56150">
        <w:t xml:space="preserve">Le but de ce  travail est d'étudier l'implication du stress oxydatif dans une colite ulcérative expérimentale. Une  colite aiguë est  induite in vivo  par injection </w:t>
      </w:r>
      <w:proofErr w:type="spellStart"/>
      <w:r w:rsidRPr="00E56150">
        <w:t>intrarectale</w:t>
      </w:r>
      <w:proofErr w:type="spellEnd"/>
      <w:r w:rsidRPr="00E56150">
        <w:t xml:space="preserve"> d'acide acétique 5% chez des souris blanches et  une colite  chronique  par injection </w:t>
      </w:r>
      <w:proofErr w:type="spellStart"/>
      <w:r w:rsidRPr="00E56150">
        <w:t>intrarectale</w:t>
      </w:r>
      <w:proofErr w:type="spellEnd"/>
      <w:r w:rsidRPr="00E56150">
        <w:t xml:space="preserve"> d'acide   trinitrobenzène sulfonique 150mg/Kg dans 50% d'éthanol chez des souris BALB/c. L'implication du stress oxydatif  dans la phase aiguë a été caractérisée par un antioxydant, la N-</w:t>
      </w:r>
      <w:proofErr w:type="spellStart"/>
      <w:r w:rsidRPr="00E56150">
        <w:t>acétyl</w:t>
      </w:r>
      <w:proofErr w:type="spellEnd"/>
      <w:r w:rsidRPr="00E56150">
        <w:t xml:space="preserve"> cystéine, NAC 150mg/Kg  injectée  par voie intra-péritonéale 30 minutes avant l'acide acétique, et dans la phase chronique par un immunosuppresseur, la </w:t>
      </w:r>
      <w:proofErr w:type="spellStart"/>
      <w:r w:rsidRPr="00E56150">
        <w:t>bétaméthasone</w:t>
      </w:r>
      <w:proofErr w:type="spellEnd"/>
      <w:r w:rsidRPr="00E56150">
        <w:t xml:space="preserve"> 1mg/Kg/j administrée  par voie intra péritonéale à partir du cinquième jour jusqu'au sacrifice (le 7ème et 15ème jour).  L'induction de ces deux modèles inflammatoires coliques est associée à des altérations  macroscopiques,  histologiques et biochimiques caractérisées par des lésions des  ulcérations  hémorragiques  au niveau du colon.  Ces altérations sont traduites par de vastes œdèmes et une importante infiltration de polynucléaires neutrophiles, de macrophages et de lymphocytes T dans la muqueuse et la sous-muqueuse colique. Des taux élevés de monoxyde d'azote (NO), de </w:t>
      </w:r>
      <w:proofErr w:type="spellStart"/>
      <w:r w:rsidRPr="00E56150">
        <w:t>malondialdehyde</w:t>
      </w:r>
      <w:proofErr w:type="spellEnd"/>
      <w:r w:rsidRPr="00E56150">
        <w:t xml:space="preserve">  (MDA) et une augmentation de l'activité </w:t>
      </w:r>
      <w:proofErr w:type="spellStart"/>
      <w:r w:rsidRPr="00E56150">
        <w:t>myeloperoxydase</w:t>
      </w:r>
      <w:proofErr w:type="spellEnd"/>
      <w:r w:rsidRPr="00E56150">
        <w:t xml:space="preserve"> (MPO) ont été estimés contrairement à des  taux  réduits du glutathion réduit (GSH) et une diminution de l'activité catalase (CAT). La NAC 150mg/Kg et la </w:t>
      </w:r>
      <w:proofErr w:type="spellStart"/>
      <w:r w:rsidRPr="00E56150">
        <w:t>bétaméthasone</w:t>
      </w:r>
      <w:proofErr w:type="spellEnd"/>
      <w:r w:rsidRPr="00E56150">
        <w:t xml:space="preserve"> 1mg/Kg/j ont permis de réduire les lésions  aiguës et chroniques. </w:t>
      </w:r>
    </w:p>
    <w:p w:rsidR="00DF59C1" w:rsidRDefault="00DF59C1"/>
    <w:sectPr w:rsidR="00DF59C1" w:rsidSect="00DF59C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6150"/>
    <w:rsid w:val="00DF59C1"/>
    <w:rsid w:val="00E561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59C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234</Words>
  <Characters>1293</Characters>
  <Application>Microsoft Office Word</Application>
  <DocSecurity>0</DocSecurity>
  <Lines>10</Lines>
  <Paragraphs>3</Paragraphs>
  <ScaleCrop>false</ScaleCrop>
  <Company/>
  <LinksUpToDate>false</LinksUpToDate>
  <CharactersWithSpaces>1524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2015-03-15T10:01:00Z</dcterms:created>
  <dcterms:modified xsi:type="dcterms:W3CDTF">2015-03-15T10:01:00Z</dcterms:modified>
</cp:coreProperties>
</file>