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D16C8" w:rsidRPr="003D16C8" w:rsidRDefault="003D16C8" w:rsidP="003D16C8">
      <w:pPr>
        <w:bidi w:val="0"/>
        <w:rPr>
          <w:lang w:val="fr-FR" w:bidi="ar-DZ"/>
        </w:rPr>
      </w:pPr>
      <w:r w:rsidRPr="003D16C8">
        <w:rPr>
          <w:lang w:val="fr-FR" w:bidi="ar-DZ"/>
        </w:rPr>
        <w:t xml:space="preserve">     Les compressions Est-Ouest, pendant le Panafricain, sont à l'origine de la structuration </w:t>
      </w:r>
    </w:p>
    <w:p w:rsidR="003D16C8" w:rsidRPr="003D16C8" w:rsidRDefault="003D16C8" w:rsidP="003D16C8">
      <w:pPr>
        <w:bidi w:val="0"/>
        <w:rPr>
          <w:lang w:val="fr-FR" w:bidi="ar-DZ"/>
        </w:rPr>
      </w:pPr>
      <w:r w:rsidRPr="003D16C8">
        <w:rPr>
          <w:lang w:val="fr-FR" w:bidi="ar-DZ"/>
        </w:rPr>
        <w:t xml:space="preserve"> actuelle du Hoggar, formés de ce fait par des terrains d'âges, de lithologies et d'évolutions</w:t>
      </w:r>
    </w:p>
    <w:p w:rsidR="003D16C8" w:rsidRPr="003D16C8" w:rsidRDefault="003D16C8" w:rsidP="003D16C8">
      <w:pPr>
        <w:bidi w:val="0"/>
        <w:rPr>
          <w:lang w:val="fr-FR" w:bidi="ar-DZ"/>
        </w:rPr>
      </w:pPr>
      <w:r w:rsidRPr="003D16C8">
        <w:rPr>
          <w:lang w:val="fr-FR" w:bidi="ar-DZ"/>
        </w:rPr>
        <w:t xml:space="preserve"> métamorphiques différentes, comme c'est le cas des terranes de l'In Ouzzal et de </w:t>
      </w:r>
    </w:p>
    <w:p w:rsidR="003D16C8" w:rsidRPr="003D16C8" w:rsidRDefault="003D16C8" w:rsidP="003D16C8">
      <w:pPr>
        <w:bidi w:val="0"/>
        <w:rPr>
          <w:lang w:val="fr-FR" w:bidi="ar-DZ"/>
        </w:rPr>
      </w:pPr>
      <w:r w:rsidRPr="003D16C8">
        <w:rPr>
          <w:lang w:val="fr-FR" w:bidi="ar-DZ"/>
        </w:rPr>
        <w:t>Sérouènout.</w:t>
      </w:r>
    </w:p>
    <w:p w:rsidR="003D16C8" w:rsidRPr="003D16C8" w:rsidRDefault="003D16C8" w:rsidP="003D16C8">
      <w:pPr>
        <w:bidi w:val="0"/>
        <w:rPr>
          <w:lang w:val="fr-FR" w:bidi="ar-DZ"/>
        </w:rPr>
      </w:pPr>
      <w:r w:rsidRPr="003D16C8">
        <w:rPr>
          <w:lang w:val="fr-FR" w:bidi="ar-DZ"/>
        </w:rPr>
        <w:t xml:space="preserve">L'unité granulitique de l'In Ouzzal (Hoggar occidental), d'âge archéen, est composée de </w:t>
      </w:r>
    </w:p>
    <w:p w:rsidR="003D16C8" w:rsidRPr="003D16C8" w:rsidRDefault="003D16C8" w:rsidP="003D16C8">
      <w:pPr>
        <w:bidi w:val="0"/>
        <w:rPr>
          <w:lang w:val="fr-FR" w:bidi="ar-DZ"/>
        </w:rPr>
      </w:pPr>
      <w:r w:rsidRPr="003D16C8">
        <w:rPr>
          <w:lang w:val="fr-FR" w:bidi="ar-DZ"/>
        </w:rPr>
        <w:t xml:space="preserve">roches métamorphisées, à très haute température, lors de l'Eburnéen. Le développement </w:t>
      </w:r>
    </w:p>
    <w:p w:rsidR="003D16C8" w:rsidRPr="003D16C8" w:rsidRDefault="003D16C8" w:rsidP="003D16C8">
      <w:pPr>
        <w:bidi w:val="0"/>
        <w:rPr>
          <w:lang w:val="fr-FR" w:bidi="ar-DZ"/>
        </w:rPr>
      </w:pPr>
      <w:r w:rsidRPr="003D16C8">
        <w:rPr>
          <w:lang w:val="fr-FR" w:bidi="ar-DZ"/>
        </w:rPr>
        <w:t xml:space="preserve">d'assemblages, exceptionnels, à orthopyroxène-saphirine-spinelle-quartz ou encore à </w:t>
      </w:r>
    </w:p>
    <w:p w:rsidR="003D16C8" w:rsidRPr="003D16C8" w:rsidRDefault="003D16C8" w:rsidP="003D16C8">
      <w:pPr>
        <w:bidi w:val="0"/>
        <w:rPr>
          <w:lang w:val="fr-FR" w:bidi="ar-DZ"/>
        </w:rPr>
      </w:pPr>
      <w:r w:rsidRPr="003D16C8">
        <w:rPr>
          <w:lang w:val="fr-FR" w:bidi="ar-DZ"/>
        </w:rPr>
        <w:t xml:space="preserve">osumilite-saphirine-orthopyroxène-sillimanite-biotite ± quartz, reportés ici pour la première </w:t>
      </w:r>
    </w:p>
    <w:p w:rsidR="003D16C8" w:rsidRPr="003D16C8" w:rsidRDefault="003D16C8" w:rsidP="003D16C8">
      <w:pPr>
        <w:bidi w:val="0"/>
        <w:rPr>
          <w:lang w:val="fr-FR" w:bidi="ar-DZ"/>
        </w:rPr>
      </w:pPr>
      <w:r w:rsidRPr="003D16C8">
        <w:rPr>
          <w:lang w:val="fr-FR" w:bidi="ar-DZ"/>
        </w:rPr>
        <w:t>fois, dans les quartzites Al-Mg, indiquent des températures supérieures à 1100°C., comme le</w:t>
      </w:r>
    </w:p>
    <w:p w:rsidR="003D16C8" w:rsidRPr="003D16C8" w:rsidRDefault="003D16C8" w:rsidP="003D16C8">
      <w:pPr>
        <w:bidi w:val="0"/>
        <w:rPr>
          <w:lang w:val="fr-FR" w:bidi="ar-DZ"/>
        </w:rPr>
      </w:pPr>
      <w:r w:rsidRPr="003D16C8">
        <w:rPr>
          <w:lang w:val="fr-FR" w:bidi="ar-DZ"/>
        </w:rPr>
        <w:t xml:space="preserve"> montrent les différentes modélisations thermodynamiques, menées dans les systèmes </w:t>
      </w:r>
    </w:p>
    <w:p w:rsidR="003D16C8" w:rsidRPr="003D16C8" w:rsidRDefault="003D16C8" w:rsidP="003D16C8">
      <w:pPr>
        <w:bidi w:val="0"/>
        <w:rPr>
          <w:lang w:val="fr-FR" w:bidi="ar-DZ"/>
        </w:rPr>
      </w:pPr>
      <w:r w:rsidRPr="003D16C8">
        <w:rPr>
          <w:lang w:val="fr-FR" w:bidi="ar-DZ"/>
        </w:rPr>
        <w:t xml:space="preserve">FMASH et KFMASH. Les relations de phases permettent également de mettre en évidence </w:t>
      </w:r>
    </w:p>
    <w:p w:rsidR="003D16C8" w:rsidRPr="003D16C8" w:rsidRDefault="003D16C8" w:rsidP="003D16C8">
      <w:pPr>
        <w:bidi w:val="0"/>
        <w:rPr>
          <w:lang w:val="fr-FR" w:bidi="ar-DZ"/>
        </w:rPr>
      </w:pPr>
      <w:r w:rsidRPr="003D16C8">
        <w:rPr>
          <w:lang w:val="fr-FR" w:bidi="ar-DZ"/>
        </w:rPr>
        <w:t xml:space="preserve">un cheminement P-T horaire avec un pic thermique à 1100°C et 9-10 kbar, puis une baisse </w:t>
      </w:r>
    </w:p>
    <w:p w:rsidR="003D16C8" w:rsidRPr="003D16C8" w:rsidRDefault="003D16C8" w:rsidP="003D16C8">
      <w:pPr>
        <w:bidi w:val="0"/>
        <w:rPr>
          <w:lang w:val="fr-FR" w:bidi="ar-DZ"/>
        </w:rPr>
      </w:pPr>
      <w:r w:rsidRPr="003D16C8">
        <w:rPr>
          <w:lang w:val="fr-FR" w:bidi="ar-DZ"/>
        </w:rPr>
        <w:t>de la pression et de la température, qui atteignent alors 5-6 kbar et 750-800°C. Ce</w:t>
      </w:r>
    </w:p>
    <w:p w:rsidR="003D16C8" w:rsidRPr="003D16C8" w:rsidRDefault="003D16C8" w:rsidP="003D16C8">
      <w:pPr>
        <w:bidi w:val="0"/>
        <w:rPr>
          <w:lang w:val="fr-FR" w:bidi="ar-DZ"/>
        </w:rPr>
      </w:pPr>
      <w:r w:rsidRPr="003D16C8">
        <w:rPr>
          <w:lang w:val="fr-FR" w:bidi="ar-DZ"/>
        </w:rPr>
        <w:t xml:space="preserve"> métamorphisme granulitique de  très haute température est interprété comme le résultat </w:t>
      </w:r>
    </w:p>
    <w:p w:rsidR="003D16C8" w:rsidRPr="003D16C8" w:rsidRDefault="003D16C8" w:rsidP="003D16C8">
      <w:pPr>
        <w:bidi w:val="0"/>
        <w:rPr>
          <w:lang w:val="fr-FR" w:bidi="ar-DZ"/>
        </w:rPr>
      </w:pPr>
      <w:r w:rsidRPr="003D16C8">
        <w:rPr>
          <w:lang w:val="fr-FR" w:bidi="ar-DZ"/>
        </w:rPr>
        <w:t xml:space="preserve">d'une délamination lithosphérique mettant la croûte inférieure directement en contact avec </w:t>
      </w:r>
    </w:p>
    <w:p w:rsidR="003D16C8" w:rsidRPr="003D16C8" w:rsidRDefault="003D16C8" w:rsidP="003D16C8">
      <w:pPr>
        <w:bidi w:val="0"/>
        <w:rPr>
          <w:lang w:val="fr-FR" w:bidi="ar-DZ"/>
        </w:rPr>
      </w:pPr>
      <w:r w:rsidRPr="003D16C8">
        <w:rPr>
          <w:lang w:val="fr-FR" w:bidi="ar-DZ"/>
        </w:rPr>
        <w:t>l'asthénosphère, à l'Eburnéen.</w:t>
      </w:r>
    </w:p>
    <w:p w:rsidR="003D16C8" w:rsidRPr="003D16C8" w:rsidRDefault="003D16C8" w:rsidP="003D16C8">
      <w:pPr>
        <w:bidi w:val="0"/>
        <w:rPr>
          <w:lang w:val="fr-FR" w:bidi="ar-DZ"/>
        </w:rPr>
      </w:pPr>
      <w:r w:rsidRPr="003D16C8">
        <w:rPr>
          <w:lang w:val="fr-FR" w:bidi="ar-DZ"/>
        </w:rPr>
        <w:t>Le terrane de Sérouènout (Hoggar central), d'âge panafricain probable, montre les vestiges</w:t>
      </w:r>
    </w:p>
    <w:p w:rsidR="003D16C8" w:rsidRPr="003D16C8" w:rsidRDefault="003D16C8" w:rsidP="003D16C8">
      <w:pPr>
        <w:bidi w:val="0"/>
        <w:rPr>
          <w:lang w:val="fr-FR" w:bidi="ar-DZ"/>
        </w:rPr>
      </w:pPr>
      <w:r w:rsidRPr="003D16C8">
        <w:rPr>
          <w:lang w:val="fr-FR" w:bidi="ar-DZ"/>
        </w:rPr>
        <w:t xml:space="preserve"> d'une ancienne croûte océanique subductée puis exhumée et charriée. </w:t>
      </w:r>
    </w:p>
    <w:p w:rsidR="003D16C8" w:rsidRPr="003D16C8" w:rsidRDefault="003D16C8" w:rsidP="003D16C8">
      <w:pPr>
        <w:bidi w:val="0"/>
        <w:rPr>
          <w:lang w:val="fr-FR" w:bidi="ar-DZ"/>
        </w:rPr>
      </w:pPr>
      <w:r w:rsidRPr="003D16C8">
        <w:rPr>
          <w:lang w:val="fr-FR" w:bidi="ar-DZ"/>
        </w:rPr>
        <w:t xml:space="preserve">L'organisation générale de ce terrain est relativement simple. Deux grands ensembles </w:t>
      </w:r>
    </w:p>
    <w:p w:rsidR="003D16C8" w:rsidRPr="003D16C8" w:rsidRDefault="003D16C8" w:rsidP="003D16C8">
      <w:pPr>
        <w:bidi w:val="0"/>
        <w:rPr>
          <w:lang w:val="fr-FR" w:bidi="ar-DZ"/>
        </w:rPr>
      </w:pPr>
      <w:r w:rsidRPr="003D16C8">
        <w:rPr>
          <w:lang w:val="fr-FR" w:bidi="ar-DZ"/>
        </w:rPr>
        <w:t>peuvent être distingués : un paléo-socle et une couverture.</w:t>
      </w:r>
    </w:p>
    <w:p w:rsidR="004B2322" w:rsidRPr="003D16C8" w:rsidRDefault="003D16C8" w:rsidP="003D16C8">
      <w:pPr>
        <w:bidi w:val="0"/>
        <w:rPr>
          <w:rFonts w:hint="cs"/>
          <w:lang w:val="fr-FR" w:bidi="ar-DZ"/>
        </w:rPr>
      </w:pPr>
      <w:r w:rsidRPr="003D16C8">
        <w:rPr>
          <w:lang w:val="fr-FR" w:bidi="ar-DZ"/>
        </w:rPr>
        <w:t>Les roches qui affleurent dans la couverture sont extrêmement variées. Un bon aperçu de cette diversité est fourni par la présence de métabasites (éclogites et amphibolites) correspondant à d'anciens basaltes tholeïtiques et gabbros mais aussi des péridotites, serpentinites, brèches de serpentine (ophicalcites), des talcschistes, des calcaires gréseux (grès calcareux), des marbres, jaspes,…, un caractère typiquement océanique. L'étude géochimique indique que le plancher océanique a subi une altération hydrothermale intense avant qu'il ne subisse les effets du métamorphisme de haute pression.</w:t>
      </w:r>
    </w:p>
    <w:sectPr w:rsidR="004B2322" w:rsidRPr="003D16C8" w:rsidSect="006D5754">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3D16C8"/>
    <w:rsid w:val="003D16C8"/>
    <w:rsid w:val="004B2322"/>
    <w:rsid w:val="006D5754"/>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B2322"/>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327</Words>
  <Characters>1866</Characters>
  <Application>Microsoft Office Word</Application>
  <DocSecurity>0</DocSecurity>
  <Lines>15</Lines>
  <Paragraphs>4</Paragraphs>
  <ScaleCrop>false</ScaleCrop>
  <Company/>
  <LinksUpToDate>false</LinksUpToDate>
  <CharactersWithSpaces>2189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zidane</dc:creator>
  <cp:lastModifiedBy>zidane</cp:lastModifiedBy>
  <cp:revision>1</cp:revision>
  <dcterms:created xsi:type="dcterms:W3CDTF">2015-02-11T10:13:00Z</dcterms:created>
  <dcterms:modified xsi:type="dcterms:W3CDTF">2015-02-11T10:13:00Z</dcterms:modified>
</cp:coreProperties>
</file>