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60F" w:rsidRDefault="0096060F" w:rsidP="0096060F">
      <w:pPr>
        <w:spacing w:line="360" w:lineRule="auto"/>
        <w:jc w:val="both"/>
        <w:rPr>
          <w:b/>
          <w:sz w:val="22"/>
        </w:rPr>
      </w:pPr>
      <w:r w:rsidRPr="00501F35">
        <w:rPr>
          <w:b/>
          <w:sz w:val="22"/>
        </w:rPr>
        <w:t>Résumé</w:t>
      </w:r>
      <w:r>
        <w:rPr>
          <w:b/>
          <w:sz w:val="22"/>
        </w:rPr>
        <w:t xml:space="preserve"> : </w:t>
      </w:r>
      <w:r w:rsidRPr="00501F35">
        <w:rPr>
          <w:b/>
          <w:sz w:val="22"/>
        </w:rPr>
        <w:t xml:space="preserve">Contribution à l’étude </w:t>
      </w:r>
      <w:proofErr w:type="spellStart"/>
      <w:r w:rsidRPr="00501F35">
        <w:rPr>
          <w:b/>
          <w:sz w:val="22"/>
        </w:rPr>
        <w:t>biosystématique</w:t>
      </w:r>
      <w:proofErr w:type="spellEnd"/>
      <w:r w:rsidRPr="00501F35">
        <w:rPr>
          <w:b/>
          <w:sz w:val="22"/>
        </w:rPr>
        <w:t xml:space="preserve"> du genre </w:t>
      </w:r>
      <w:r w:rsidRPr="002049A2">
        <w:rPr>
          <w:b/>
          <w:i/>
          <w:sz w:val="22"/>
        </w:rPr>
        <w:t>Genista</w:t>
      </w:r>
      <w:r w:rsidRPr="00501F35">
        <w:rPr>
          <w:b/>
          <w:sz w:val="22"/>
        </w:rPr>
        <w:t xml:space="preserve"> L. en Algérie</w:t>
      </w:r>
    </w:p>
    <w:p w:rsidR="0096060F" w:rsidRPr="00501F35" w:rsidRDefault="0096060F" w:rsidP="0096060F">
      <w:pPr>
        <w:spacing w:line="360" w:lineRule="auto"/>
        <w:jc w:val="both"/>
        <w:rPr>
          <w:b/>
          <w:sz w:val="22"/>
        </w:rPr>
      </w:pPr>
    </w:p>
    <w:p w:rsidR="0096060F" w:rsidRPr="00501F35" w:rsidRDefault="0096060F" w:rsidP="0096060F">
      <w:pPr>
        <w:spacing w:line="360" w:lineRule="auto"/>
        <w:jc w:val="both"/>
        <w:rPr>
          <w:sz w:val="22"/>
        </w:rPr>
      </w:pPr>
      <w:r w:rsidRPr="00501F35">
        <w:rPr>
          <w:sz w:val="22"/>
        </w:rPr>
        <w:t xml:space="preserve">Le genre </w:t>
      </w:r>
      <w:r w:rsidRPr="00501F35">
        <w:rPr>
          <w:i/>
          <w:sz w:val="22"/>
        </w:rPr>
        <w:t>Genista</w:t>
      </w:r>
      <w:r w:rsidRPr="00501F35">
        <w:rPr>
          <w:sz w:val="22"/>
        </w:rPr>
        <w:t xml:space="preserve"> (</w:t>
      </w:r>
      <w:proofErr w:type="spellStart"/>
      <w:r w:rsidRPr="00501F35">
        <w:rPr>
          <w:sz w:val="22"/>
        </w:rPr>
        <w:t>Fabaceae</w:t>
      </w:r>
      <w:proofErr w:type="spellEnd"/>
      <w:r w:rsidRPr="00501F35">
        <w:rPr>
          <w:sz w:val="22"/>
        </w:rPr>
        <w:t xml:space="preserve">, sous-famille </w:t>
      </w:r>
      <w:proofErr w:type="spellStart"/>
      <w:r w:rsidRPr="00501F35">
        <w:rPr>
          <w:sz w:val="22"/>
        </w:rPr>
        <w:t>Papilionoideae</w:t>
      </w:r>
      <w:proofErr w:type="spellEnd"/>
      <w:r w:rsidRPr="00501F35">
        <w:rPr>
          <w:sz w:val="22"/>
        </w:rPr>
        <w:t xml:space="preserve">, tribu des </w:t>
      </w:r>
      <w:proofErr w:type="spellStart"/>
      <w:r w:rsidRPr="00501F35">
        <w:rPr>
          <w:sz w:val="22"/>
        </w:rPr>
        <w:t>Genisteae</w:t>
      </w:r>
      <w:proofErr w:type="spellEnd"/>
      <w:r w:rsidRPr="00501F35">
        <w:rPr>
          <w:sz w:val="22"/>
        </w:rPr>
        <w:t xml:space="preserve">) est représenté en Algérie par 16 espèces dont 11 endémiques. Cette étude est une approche préliminaire qui a pour objectif l’évaluation de la diversité phénotypique des populations naturelles du genre </w:t>
      </w:r>
      <w:r w:rsidRPr="00501F35">
        <w:rPr>
          <w:i/>
          <w:sz w:val="22"/>
        </w:rPr>
        <w:t>Genista</w:t>
      </w:r>
      <w:r w:rsidRPr="00501F35">
        <w:rPr>
          <w:sz w:val="22"/>
        </w:rPr>
        <w:t xml:space="preserve"> en Algérie. Elle a porté</w:t>
      </w:r>
      <w:r>
        <w:rPr>
          <w:sz w:val="22"/>
        </w:rPr>
        <w:t>e</w:t>
      </w:r>
      <w:r w:rsidRPr="00501F35">
        <w:rPr>
          <w:sz w:val="22"/>
        </w:rPr>
        <w:t xml:space="preserve"> sur 14 populations naturelles échantillonnées en Algérie du nord dans diverses conditions bioclimatiques. L’évaluation de la diversité a été appréhendée par plusieurs approches : taxonomiques, morphologique et </w:t>
      </w:r>
      <w:proofErr w:type="spellStart"/>
      <w:r w:rsidRPr="00501F35">
        <w:rPr>
          <w:sz w:val="22"/>
        </w:rPr>
        <w:t>caryologique</w:t>
      </w:r>
      <w:proofErr w:type="spellEnd"/>
      <w:r w:rsidRPr="00501F35">
        <w:rPr>
          <w:sz w:val="22"/>
        </w:rPr>
        <w:t xml:space="preserve">. Cinq taxons ont été identifiés sur la base de la flore de Maire, il s’agit de : </w:t>
      </w:r>
      <w:r w:rsidRPr="00501F35">
        <w:rPr>
          <w:i/>
          <w:iCs/>
          <w:sz w:val="22"/>
        </w:rPr>
        <w:t xml:space="preserve">Genista </w:t>
      </w:r>
      <w:proofErr w:type="spellStart"/>
      <w:r w:rsidRPr="00501F35">
        <w:rPr>
          <w:i/>
          <w:iCs/>
          <w:sz w:val="22"/>
        </w:rPr>
        <w:t>erioclada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 w:rsidRPr="00501F35">
        <w:rPr>
          <w:bCs/>
          <w:iCs/>
          <w:sz w:val="22"/>
        </w:rPr>
        <w:t>Spach</w:t>
      </w:r>
      <w:proofErr w:type="spellEnd"/>
      <w:r w:rsidRPr="00501F35">
        <w:rPr>
          <w:bCs/>
          <w:iCs/>
          <w:sz w:val="22"/>
        </w:rPr>
        <w:t>,</w:t>
      </w:r>
      <w:r w:rsidRPr="00501F35">
        <w:rPr>
          <w:sz w:val="22"/>
        </w:rPr>
        <w:t xml:space="preserve"> </w:t>
      </w:r>
      <w:r w:rsidRPr="00501F35">
        <w:rPr>
          <w:i/>
          <w:iCs/>
          <w:sz w:val="22"/>
        </w:rPr>
        <w:t xml:space="preserve">Genista </w:t>
      </w:r>
      <w:proofErr w:type="spellStart"/>
      <w:r w:rsidRPr="00501F35">
        <w:rPr>
          <w:i/>
          <w:iCs/>
          <w:sz w:val="22"/>
        </w:rPr>
        <w:t>ulicina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 w:rsidRPr="00501F35">
        <w:rPr>
          <w:bCs/>
          <w:iCs/>
          <w:sz w:val="22"/>
        </w:rPr>
        <w:t>Spach</w:t>
      </w:r>
      <w:proofErr w:type="spellEnd"/>
      <w:r w:rsidRPr="00501F35">
        <w:rPr>
          <w:sz w:val="22"/>
        </w:rPr>
        <w:t xml:space="preserve">, </w:t>
      </w:r>
      <w:r w:rsidRPr="00501F35">
        <w:rPr>
          <w:i/>
          <w:iCs/>
          <w:sz w:val="22"/>
        </w:rPr>
        <w:t xml:space="preserve">Genista </w:t>
      </w:r>
      <w:proofErr w:type="spellStart"/>
      <w:r w:rsidRPr="00501F35">
        <w:rPr>
          <w:i/>
          <w:iCs/>
          <w:sz w:val="22"/>
        </w:rPr>
        <w:t>hirsuta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 w:rsidRPr="00501F35">
        <w:rPr>
          <w:bCs/>
          <w:iCs/>
          <w:sz w:val="22"/>
        </w:rPr>
        <w:t>Vahl</w:t>
      </w:r>
      <w:proofErr w:type="spellEnd"/>
      <w:r w:rsidRPr="00501F35">
        <w:rPr>
          <w:bCs/>
          <w:iCs/>
          <w:sz w:val="22"/>
        </w:rPr>
        <w:t>.</w:t>
      </w:r>
      <w:r w:rsidRPr="00501F35">
        <w:rPr>
          <w:i/>
          <w:iCs/>
          <w:sz w:val="22"/>
        </w:rPr>
        <w:t xml:space="preserve">, Genista </w:t>
      </w:r>
      <w:proofErr w:type="spellStart"/>
      <w:r w:rsidRPr="00501F35">
        <w:rPr>
          <w:i/>
          <w:iCs/>
          <w:sz w:val="22"/>
        </w:rPr>
        <w:t>cephalantha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 w:rsidRPr="00501F35">
        <w:rPr>
          <w:bCs/>
          <w:iCs/>
          <w:sz w:val="22"/>
        </w:rPr>
        <w:t>Spach</w:t>
      </w:r>
      <w:proofErr w:type="spellEnd"/>
      <w:r w:rsidRPr="00501F35">
        <w:rPr>
          <w:b/>
          <w:bCs/>
          <w:i/>
          <w:iCs/>
          <w:sz w:val="22"/>
        </w:rPr>
        <w:t xml:space="preserve"> </w:t>
      </w:r>
      <w:r w:rsidRPr="00501F35">
        <w:rPr>
          <w:sz w:val="22"/>
        </w:rPr>
        <w:t>et</w:t>
      </w:r>
      <w:r w:rsidRPr="00501F35">
        <w:rPr>
          <w:i/>
          <w:iCs/>
          <w:sz w:val="22"/>
        </w:rPr>
        <w:t xml:space="preserve"> Genista </w:t>
      </w:r>
      <w:proofErr w:type="spellStart"/>
      <w:r w:rsidRPr="00501F35">
        <w:rPr>
          <w:i/>
          <w:iCs/>
          <w:sz w:val="22"/>
        </w:rPr>
        <w:t>tricuspidata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 w:rsidRPr="00501F35">
        <w:rPr>
          <w:iCs/>
          <w:sz w:val="22"/>
        </w:rPr>
        <w:t>Desf</w:t>
      </w:r>
      <w:proofErr w:type="spellEnd"/>
      <w:r w:rsidRPr="00501F35">
        <w:rPr>
          <w:iCs/>
          <w:sz w:val="22"/>
        </w:rPr>
        <w:t>. La consultation des sites de synonymies spécialisées a permis de statuer sur la taxonomie actuelle de ces espèces qui est accepté</w:t>
      </w:r>
      <w:r>
        <w:rPr>
          <w:iCs/>
          <w:sz w:val="22"/>
        </w:rPr>
        <w:t>e</w:t>
      </w:r>
      <w:r w:rsidRPr="00501F35">
        <w:rPr>
          <w:iCs/>
          <w:sz w:val="22"/>
        </w:rPr>
        <w:t xml:space="preserve"> pour </w:t>
      </w:r>
      <w:r w:rsidRPr="00501F35">
        <w:rPr>
          <w:i/>
          <w:iCs/>
          <w:sz w:val="22"/>
        </w:rPr>
        <w:t xml:space="preserve">G. </w:t>
      </w:r>
      <w:proofErr w:type="spellStart"/>
      <w:r w:rsidRPr="00501F35">
        <w:rPr>
          <w:i/>
          <w:iCs/>
          <w:sz w:val="22"/>
        </w:rPr>
        <w:t>ulicina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 w:rsidRPr="00501F35">
        <w:rPr>
          <w:bCs/>
          <w:iCs/>
          <w:sz w:val="22"/>
        </w:rPr>
        <w:t>Spach</w:t>
      </w:r>
      <w:proofErr w:type="spellEnd"/>
      <w:r w:rsidRPr="00501F35">
        <w:rPr>
          <w:sz w:val="22"/>
        </w:rPr>
        <w:t xml:space="preserve">, </w:t>
      </w:r>
      <w:r w:rsidRPr="00501F35">
        <w:rPr>
          <w:i/>
          <w:iCs/>
          <w:sz w:val="22"/>
        </w:rPr>
        <w:t xml:space="preserve">G. </w:t>
      </w:r>
      <w:proofErr w:type="spellStart"/>
      <w:r w:rsidRPr="00501F35">
        <w:rPr>
          <w:i/>
          <w:iCs/>
          <w:sz w:val="22"/>
        </w:rPr>
        <w:t>hirsuta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 w:rsidRPr="00501F35">
        <w:rPr>
          <w:bCs/>
          <w:iCs/>
          <w:sz w:val="22"/>
        </w:rPr>
        <w:t>Vahl</w:t>
      </w:r>
      <w:proofErr w:type="spellEnd"/>
      <w:r w:rsidRPr="00501F35">
        <w:rPr>
          <w:bCs/>
          <w:iCs/>
          <w:sz w:val="22"/>
        </w:rPr>
        <w:t>.</w:t>
      </w:r>
      <w:r w:rsidRPr="00501F35">
        <w:rPr>
          <w:i/>
          <w:iCs/>
          <w:sz w:val="22"/>
        </w:rPr>
        <w:t xml:space="preserve">, G. </w:t>
      </w:r>
      <w:proofErr w:type="spellStart"/>
      <w:r w:rsidRPr="00501F35">
        <w:rPr>
          <w:i/>
          <w:iCs/>
          <w:sz w:val="22"/>
        </w:rPr>
        <w:t>cephalantha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 w:rsidRPr="00501F35">
        <w:rPr>
          <w:bCs/>
          <w:iCs/>
          <w:sz w:val="22"/>
        </w:rPr>
        <w:t>Spach</w:t>
      </w:r>
      <w:proofErr w:type="spellEnd"/>
      <w:r w:rsidRPr="00501F35">
        <w:rPr>
          <w:b/>
          <w:bCs/>
          <w:i/>
          <w:iCs/>
          <w:sz w:val="22"/>
        </w:rPr>
        <w:t xml:space="preserve"> </w:t>
      </w:r>
      <w:r w:rsidRPr="00501F35">
        <w:rPr>
          <w:sz w:val="22"/>
        </w:rPr>
        <w:t>et</w:t>
      </w:r>
      <w:r w:rsidRPr="00501F35">
        <w:rPr>
          <w:i/>
          <w:iCs/>
          <w:sz w:val="22"/>
        </w:rPr>
        <w:t xml:space="preserve"> G. </w:t>
      </w:r>
      <w:proofErr w:type="spellStart"/>
      <w:r w:rsidRPr="00501F35">
        <w:rPr>
          <w:i/>
          <w:iCs/>
          <w:sz w:val="22"/>
        </w:rPr>
        <w:t>tricuspidata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>
        <w:rPr>
          <w:iCs/>
          <w:sz w:val="22"/>
        </w:rPr>
        <w:t>Desf</w:t>
      </w:r>
      <w:proofErr w:type="spellEnd"/>
      <w:r>
        <w:rPr>
          <w:iCs/>
          <w:sz w:val="22"/>
        </w:rPr>
        <w:t>., alors qu’elle</w:t>
      </w:r>
      <w:r w:rsidRPr="00501F35">
        <w:rPr>
          <w:iCs/>
          <w:sz w:val="22"/>
        </w:rPr>
        <w:t xml:space="preserve"> est refusé</w:t>
      </w:r>
      <w:r>
        <w:rPr>
          <w:iCs/>
          <w:sz w:val="22"/>
        </w:rPr>
        <w:t>e</w:t>
      </w:r>
      <w:r w:rsidRPr="00501F35">
        <w:rPr>
          <w:iCs/>
          <w:sz w:val="22"/>
        </w:rPr>
        <w:t xml:space="preserve"> pour </w:t>
      </w:r>
      <w:r w:rsidRPr="00501F35">
        <w:rPr>
          <w:i/>
          <w:iCs/>
          <w:sz w:val="22"/>
        </w:rPr>
        <w:t xml:space="preserve">G. </w:t>
      </w:r>
      <w:proofErr w:type="spellStart"/>
      <w:r w:rsidRPr="00501F35">
        <w:rPr>
          <w:i/>
          <w:iCs/>
          <w:sz w:val="22"/>
        </w:rPr>
        <w:t>erioclada</w:t>
      </w:r>
      <w:proofErr w:type="spellEnd"/>
      <w:r w:rsidRPr="00501F35">
        <w:rPr>
          <w:i/>
          <w:iCs/>
          <w:sz w:val="22"/>
        </w:rPr>
        <w:t xml:space="preserve"> </w:t>
      </w:r>
      <w:proofErr w:type="spellStart"/>
      <w:r w:rsidRPr="00501F35">
        <w:rPr>
          <w:bCs/>
          <w:iCs/>
          <w:sz w:val="22"/>
        </w:rPr>
        <w:t>Spach</w:t>
      </w:r>
      <w:proofErr w:type="spellEnd"/>
      <w:r w:rsidRPr="00501F35">
        <w:rPr>
          <w:iCs/>
          <w:sz w:val="22"/>
        </w:rPr>
        <w:t xml:space="preserve">. Les analyses morphologiques </w:t>
      </w:r>
      <w:proofErr w:type="spellStart"/>
      <w:r w:rsidRPr="00501F35">
        <w:rPr>
          <w:sz w:val="22"/>
        </w:rPr>
        <w:t>multivariées</w:t>
      </w:r>
      <w:proofErr w:type="spellEnd"/>
      <w:r w:rsidRPr="00501F35">
        <w:rPr>
          <w:sz w:val="22"/>
        </w:rPr>
        <w:t xml:space="preserve"> ont mis en évidence</w:t>
      </w:r>
      <w:r w:rsidRPr="00501F35">
        <w:rPr>
          <w:iCs/>
          <w:sz w:val="22"/>
        </w:rPr>
        <w:t xml:space="preserve"> l’importance des caractères de l’appareil végétatif et de l’appareil reproducteur. </w:t>
      </w:r>
      <w:r w:rsidRPr="00501F35">
        <w:rPr>
          <w:sz w:val="22"/>
        </w:rPr>
        <w:t>Une grande plasticité phénotypique a été mise en évidence, elle apparait corrélée aux paramètres bioclimatiques tels l’altitude (Alt), la pluviométrie (</w:t>
      </w:r>
      <w:proofErr w:type="spellStart"/>
      <w:r w:rsidRPr="00501F35">
        <w:rPr>
          <w:sz w:val="22"/>
        </w:rPr>
        <w:t>Pmm</w:t>
      </w:r>
      <w:proofErr w:type="spellEnd"/>
      <w:r w:rsidRPr="00501F35">
        <w:rPr>
          <w:sz w:val="22"/>
        </w:rPr>
        <w:t>), la température estivale (MC°) et la température hivernale (mC°).</w:t>
      </w:r>
    </w:p>
    <w:p w:rsidR="0096060F" w:rsidRPr="00501F35" w:rsidRDefault="0096060F" w:rsidP="0096060F">
      <w:pPr>
        <w:spacing w:line="360" w:lineRule="auto"/>
        <w:jc w:val="both"/>
        <w:rPr>
          <w:sz w:val="22"/>
        </w:rPr>
      </w:pPr>
      <w:r w:rsidRPr="00501F35">
        <w:rPr>
          <w:sz w:val="22"/>
        </w:rPr>
        <w:t xml:space="preserve">Une approche </w:t>
      </w:r>
      <w:proofErr w:type="spellStart"/>
      <w:r w:rsidRPr="00501F35">
        <w:rPr>
          <w:sz w:val="22"/>
        </w:rPr>
        <w:t>caryologique</w:t>
      </w:r>
      <w:proofErr w:type="spellEnd"/>
      <w:r w:rsidRPr="00501F35">
        <w:rPr>
          <w:sz w:val="22"/>
        </w:rPr>
        <w:t xml:space="preserve"> a été réalisée sur </w:t>
      </w:r>
      <w:r w:rsidRPr="00501F35">
        <w:rPr>
          <w:i/>
          <w:sz w:val="22"/>
        </w:rPr>
        <w:t xml:space="preserve">Genista </w:t>
      </w:r>
      <w:proofErr w:type="spellStart"/>
      <w:r w:rsidRPr="00501F35">
        <w:rPr>
          <w:i/>
          <w:sz w:val="22"/>
        </w:rPr>
        <w:t>tricuspidata</w:t>
      </w:r>
      <w:proofErr w:type="spellEnd"/>
      <w:r w:rsidRPr="00501F35">
        <w:rPr>
          <w:sz w:val="22"/>
        </w:rPr>
        <w:t xml:space="preserve"> et un nouveau nombre chromosomique 2n = 42 a été établi pour la flore d’Algérie.</w:t>
      </w:r>
    </w:p>
    <w:p w:rsidR="0096060F" w:rsidRPr="00501F35" w:rsidRDefault="0096060F" w:rsidP="0096060F">
      <w:pPr>
        <w:spacing w:line="360" w:lineRule="auto"/>
        <w:jc w:val="both"/>
        <w:rPr>
          <w:sz w:val="22"/>
        </w:rPr>
      </w:pPr>
    </w:p>
    <w:p w:rsidR="0096060F" w:rsidRPr="002049A2" w:rsidRDefault="0096060F" w:rsidP="0096060F">
      <w:pPr>
        <w:spacing w:line="360" w:lineRule="auto"/>
        <w:jc w:val="both"/>
        <w:rPr>
          <w:sz w:val="20"/>
          <w:szCs w:val="20"/>
        </w:rPr>
      </w:pPr>
      <w:r w:rsidRPr="002049A2">
        <w:rPr>
          <w:b/>
          <w:sz w:val="20"/>
          <w:szCs w:val="20"/>
        </w:rPr>
        <w:t>Mots clés :</w:t>
      </w:r>
      <w:r w:rsidRPr="002049A2">
        <w:rPr>
          <w:sz w:val="20"/>
          <w:szCs w:val="20"/>
        </w:rPr>
        <w:t xml:space="preserve"> </w:t>
      </w:r>
      <w:r w:rsidRPr="002049A2">
        <w:rPr>
          <w:i/>
          <w:sz w:val="20"/>
          <w:szCs w:val="20"/>
        </w:rPr>
        <w:t>Genista</w:t>
      </w:r>
      <w:r w:rsidRPr="002049A2">
        <w:rPr>
          <w:sz w:val="20"/>
          <w:szCs w:val="20"/>
        </w:rPr>
        <w:t xml:space="preserve">, </w:t>
      </w:r>
      <w:proofErr w:type="spellStart"/>
      <w:r w:rsidRPr="002049A2">
        <w:rPr>
          <w:sz w:val="20"/>
          <w:szCs w:val="20"/>
        </w:rPr>
        <w:t>Papilionoideae</w:t>
      </w:r>
      <w:proofErr w:type="spellEnd"/>
      <w:r w:rsidRPr="002049A2">
        <w:rPr>
          <w:sz w:val="20"/>
          <w:szCs w:val="20"/>
        </w:rPr>
        <w:t>, Algérie, morphologie, statut taxonomique, plasticité phénotypique, caryologie.</w:t>
      </w:r>
    </w:p>
    <w:p w:rsidR="00257089" w:rsidRDefault="00257089" w:rsidP="0096060F">
      <w:pPr>
        <w:spacing w:line="360" w:lineRule="auto"/>
      </w:pPr>
    </w:p>
    <w:sectPr w:rsidR="00257089" w:rsidSect="002570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060F"/>
    <w:rsid w:val="00257089"/>
    <w:rsid w:val="0054140F"/>
    <w:rsid w:val="0059748C"/>
    <w:rsid w:val="005F1093"/>
    <w:rsid w:val="00710790"/>
    <w:rsid w:val="0096060F"/>
    <w:rsid w:val="00B01B9C"/>
    <w:rsid w:val="00B91209"/>
    <w:rsid w:val="00C41B82"/>
    <w:rsid w:val="00C90DB8"/>
    <w:rsid w:val="00D91DA9"/>
    <w:rsid w:val="00E14A41"/>
    <w:rsid w:val="00E80457"/>
    <w:rsid w:val="00F17A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060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1461</Characters>
  <Application>Microsoft Office Word</Application>
  <DocSecurity>0</DocSecurity>
  <Lines>12</Lines>
  <Paragraphs>3</Paragraphs>
  <ScaleCrop>false</ScaleCrop>
  <Company/>
  <LinksUpToDate>false</LinksUpToDate>
  <CharactersWithSpaces>1723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SABDELLI</dc:creator>
  <cp:keywords/>
  <dc:description/>
  <cp:lastModifiedBy>SABDELLI</cp:lastModifiedBy>
  <cp:revision>2</cp:revision>
  <dcterms:created xsi:type="dcterms:W3CDTF">2012-06-03T11:48:00Z</dcterms:created>
  <dcterms:modified xsi:type="dcterms:W3CDTF">2012-06-03T11:48:00Z</dcterms:modified>
</cp:coreProperties>
</file>