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31BB" w:rsidRDefault="002F1EC2" w:rsidP="000771F5">
      <w:pPr>
        <w:pStyle w:val="Style3"/>
        <w:widowControl/>
        <w:spacing w:line="360" w:lineRule="auto"/>
        <w:ind w:right="10"/>
        <w:rPr>
          <w:rStyle w:val="FontStyle11"/>
          <w:lang w:val="fr-FR" w:eastAsia="fr-FR"/>
        </w:rPr>
      </w:pPr>
      <w:r>
        <w:rPr>
          <w:rStyle w:val="FontStyle11"/>
          <w:lang w:val="fr-FR" w:eastAsia="fr-FR"/>
        </w:rPr>
        <w:t>Le problème de l'identification des diverses structures de clusters de borohydrures en recourant au calcul quantique des déplacements chimiques de RMN, au moyen de deux différentes méthodes ab initio</w:t>
      </w:r>
      <w:r>
        <w:rPr>
          <w:rStyle w:val="FontStyle11"/>
          <w:lang w:val="es-ES_tradnl" w:eastAsia="fr-FR"/>
        </w:rPr>
        <w:t xml:space="preserve"> :</w:t>
      </w:r>
      <w:r>
        <w:rPr>
          <w:rStyle w:val="FontStyle11"/>
          <w:lang w:val="fr-FR" w:eastAsia="fr-FR"/>
        </w:rPr>
        <w:t xml:space="preserve"> GIAO et CSGT a été abordé dans ce mémoire. Nous avons, dans une première étape, testé ces deux méthodes sur les séries de molécules isoélectroniques comprenant</w:t>
      </w:r>
      <w:r>
        <w:rPr>
          <w:rStyle w:val="FontStyle11"/>
          <w:lang w:val="es-ES_tradnl" w:eastAsia="fr-FR"/>
        </w:rPr>
        <w:t xml:space="preserve"> :</w:t>
      </w:r>
      <w:r>
        <w:rPr>
          <w:rStyle w:val="FontStyle11"/>
          <w:lang w:val="fr-FR" w:eastAsia="fr-FR"/>
        </w:rPr>
        <w:t xml:space="preserve"> BH, BeH</w:t>
      </w:r>
      <w:r w:rsidR="004561D7" w:rsidRPr="004561D7">
        <w:rPr>
          <w:rStyle w:val="FontStyle11"/>
          <w:vertAlign w:val="superscript"/>
          <w:lang w:val="fr-FR" w:eastAsia="fr-FR"/>
        </w:rPr>
        <w:t>-</w:t>
      </w:r>
      <w:r>
        <w:rPr>
          <w:rStyle w:val="FontStyle11"/>
          <w:lang w:val="fr-FR" w:eastAsia="fr-FR"/>
        </w:rPr>
        <w:t>, CH</w:t>
      </w:r>
      <w:r>
        <w:rPr>
          <w:rStyle w:val="FontStyle11"/>
          <w:vertAlign w:val="superscript"/>
          <w:lang w:val="fr-FR" w:eastAsia="fr-FR"/>
        </w:rPr>
        <w:t>+</w:t>
      </w:r>
      <w:r>
        <w:rPr>
          <w:rStyle w:val="FontStyle11"/>
          <w:lang w:val="es-ES_tradnl" w:eastAsia="fr-FR"/>
        </w:rPr>
        <w:t xml:space="preserve"> ;</w:t>
      </w:r>
      <w:r>
        <w:rPr>
          <w:rStyle w:val="FontStyle11"/>
          <w:lang w:val="fr-FR" w:eastAsia="fr-FR"/>
        </w:rPr>
        <w:t xml:space="preserve"> A1H, MgH</w:t>
      </w:r>
      <w:r w:rsidR="000771F5" w:rsidRPr="000771F5">
        <w:rPr>
          <w:rStyle w:val="FontStyle11"/>
          <w:vertAlign w:val="superscript"/>
          <w:lang w:val="fr-FR" w:eastAsia="fr-FR"/>
        </w:rPr>
        <w:t>-</w:t>
      </w:r>
      <w:r>
        <w:rPr>
          <w:rStyle w:val="FontStyle11"/>
          <w:lang w:val="fr-FR" w:eastAsia="fr-FR"/>
        </w:rPr>
        <w:t>, SiH</w:t>
      </w:r>
      <w:r>
        <w:rPr>
          <w:rStyle w:val="FontStyle11"/>
          <w:vertAlign w:val="superscript"/>
          <w:lang w:val="fr-FR" w:eastAsia="fr-FR"/>
        </w:rPr>
        <w:t>+</w:t>
      </w:r>
      <w:r>
        <w:rPr>
          <w:rStyle w:val="FontStyle11"/>
          <w:lang w:val="fr-FR" w:eastAsia="fr-FR"/>
        </w:rPr>
        <w:t xml:space="preserve"> et GeH</w:t>
      </w:r>
      <w:r>
        <w:rPr>
          <w:rStyle w:val="FontStyle11"/>
          <w:vertAlign w:val="superscript"/>
          <w:lang w:val="fr-FR" w:eastAsia="fr-FR"/>
        </w:rPr>
        <w:t>+</w:t>
      </w:r>
      <w:r>
        <w:rPr>
          <w:rStyle w:val="FontStyle11"/>
          <w:lang w:val="fr-FR" w:eastAsia="fr-FR"/>
        </w:rPr>
        <w:t>, GaH. Nos valeurs calculées des constantes d'écran nucléaire montrent que le paramagnétisme observé pour certaines de ces molécules, s'accompagne d'un phénomène d'anti-écran pour l'élément lourd. Il est possible d'envisager de poursuivre l'étude des propriétés magnétiques de ces molécules, notamment lorsque celles-ci se trouvent dans des environnements physiques particuliers (par exemple en présence d'un champ électrique).</w:t>
      </w:r>
    </w:p>
    <w:p w:rsidR="003F31BB" w:rsidRDefault="002F1EC2" w:rsidP="00493E77">
      <w:pPr>
        <w:pStyle w:val="Style3"/>
        <w:widowControl/>
        <w:spacing w:line="360" w:lineRule="auto"/>
        <w:ind w:firstLine="696"/>
        <w:rPr>
          <w:rStyle w:val="FontStyle11"/>
          <w:lang w:val="fr-FR" w:eastAsia="fr-FR"/>
        </w:rPr>
      </w:pPr>
      <w:r>
        <w:rPr>
          <w:rStyle w:val="FontStyle11"/>
          <w:lang w:val="fr-FR" w:eastAsia="fr-FR"/>
        </w:rPr>
        <w:t>Dans la deuxième partie de notre travail, nous avons, dans un premier temps, déterminé, par optimisation au niveau SCF ab initio les géométries des diverses structures de la série des borohydrures</w:t>
      </w:r>
      <w:r>
        <w:rPr>
          <w:rStyle w:val="FontStyle11"/>
          <w:lang w:val="es-ES_tradnl" w:eastAsia="fr-FR"/>
        </w:rPr>
        <w:t xml:space="preserve"> (</w:t>
      </w:r>
      <w:r>
        <w:rPr>
          <w:rStyle w:val="FontStyle11"/>
          <w:lang w:val="fr-FR" w:eastAsia="fr-FR"/>
        </w:rPr>
        <w:t xml:space="preserve"> B</w:t>
      </w:r>
      <w:r w:rsidR="004561D7">
        <w:rPr>
          <w:rStyle w:val="FontStyle11"/>
          <w:vertAlign w:val="subscript"/>
          <w:lang w:val="fr-FR" w:eastAsia="fr-FR"/>
        </w:rPr>
        <w:t>n</w:t>
      </w:r>
      <w:r>
        <w:rPr>
          <w:rStyle w:val="FontStyle11"/>
          <w:lang w:val="fr-FR" w:eastAsia="fr-FR"/>
        </w:rPr>
        <w:t>H</w:t>
      </w:r>
      <w:r w:rsidR="004561D7">
        <w:rPr>
          <w:rStyle w:val="FontStyle11"/>
          <w:vertAlign w:val="subscript"/>
          <w:lang w:val="fr-FR" w:eastAsia="fr-FR"/>
        </w:rPr>
        <w:t>n</w:t>
      </w:r>
      <w:r w:rsidR="004561D7" w:rsidRPr="004561D7">
        <w:rPr>
          <w:rStyle w:val="FontStyle11"/>
          <w:vertAlign w:val="superscript"/>
          <w:lang w:val="fr-FR" w:eastAsia="fr-FR"/>
        </w:rPr>
        <w:t>-2</w:t>
      </w:r>
      <w:r>
        <w:rPr>
          <w:rStyle w:val="FontStyle11"/>
          <w:lang w:val="es-ES_tradnl" w:eastAsia="fr-FR"/>
        </w:rPr>
        <w:t>,</w:t>
      </w:r>
      <w:r>
        <w:rPr>
          <w:rStyle w:val="FontStyle11"/>
          <w:lang w:val="fr-FR" w:eastAsia="fr-FR"/>
        </w:rPr>
        <w:t xml:space="preserve"> n</w:t>
      </w:r>
      <w:r>
        <w:rPr>
          <w:rStyle w:val="FontStyle11"/>
          <w:lang w:val="es-ES_tradnl" w:eastAsia="fr-FR"/>
        </w:rPr>
        <w:t xml:space="preserve"> = 5, 12 ).</w:t>
      </w:r>
      <w:r>
        <w:rPr>
          <w:rStyle w:val="FontStyle11"/>
          <w:lang w:val="fr-FR" w:eastAsia="fr-FR"/>
        </w:rPr>
        <w:t xml:space="preserve"> Nous avons, par la suite, procédé au calcul des propriétés magnétiques de ces composés, au moyen des deux techniques précédemment testées. Nos valeurs des déplacements chimiques de RMN ont montré qu'il est possible de prédire, à priori, les structures les plus fréquemment observées expérimentalement. Le fait de disposer de méthodes théoriques fiables pour l'évaluation des déplacements chimiques de RMN, peut en effet aider à élucider les structures géométriques de clusters.</w:t>
      </w:r>
    </w:p>
    <w:p w:rsidR="003F31BB" w:rsidRDefault="002F1EC2" w:rsidP="005741D6">
      <w:pPr>
        <w:pStyle w:val="Style3"/>
        <w:widowControl/>
        <w:spacing w:before="5" w:line="360" w:lineRule="auto"/>
        <w:ind w:firstLine="701"/>
        <w:rPr>
          <w:rStyle w:val="FontStyle11"/>
          <w:lang w:val="fr-FR" w:eastAsia="fr-FR"/>
        </w:rPr>
      </w:pPr>
      <w:r>
        <w:rPr>
          <w:rStyle w:val="FontStyle11"/>
          <w:lang w:val="fr-FR" w:eastAsia="fr-FR"/>
        </w:rPr>
        <w:t>Il serait intéressant d'étendre cette étude, d'une paît, à d'autres catégories de clusters de bore de type</w:t>
      </w:r>
      <w:r>
        <w:rPr>
          <w:rStyle w:val="FontStyle11"/>
          <w:lang w:val="es-ES_tradnl" w:eastAsia="fr-FR"/>
        </w:rPr>
        <w:t xml:space="preserve"> nido,</w:t>
      </w:r>
      <w:r>
        <w:rPr>
          <w:rStyle w:val="FontStyle11"/>
          <w:lang w:val="fr-FR" w:eastAsia="fr-FR"/>
        </w:rPr>
        <w:t xml:space="preserve"> arachno et hypho de formules générales déprotonées respectives</w:t>
      </w:r>
      <w:r>
        <w:rPr>
          <w:rStyle w:val="FontStyle11"/>
          <w:lang w:val="es-ES_tradnl" w:eastAsia="fr-FR"/>
        </w:rPr>
        <w:t xml:space="preserve"> :</w:t>
      </w:r>
      <w:r>
        <w:rPr>
          <w:rStyle w:val="FontStyle11"/>
          <w:lang w:val="fr-FR" w:eastAsia="fr-FR"/>
        </w:rPr>
        <w:t xml:space="preserve"> B</w:t>
      </w:r>
      <w:r>
        <w:rPr>
          <w:rStyle w:val="FontStyle11"/>
          <w:vertAlign w:val="subscript"/>
          <w:lang w:val="fr-FR" w:eastAsia="fr-FR"/>
        </w:rPr>
        <w:t>n</w:t>
      </w:r>
      <w:r>
        <w:rPr>
          <w:rStyle w:val="FontStyle11"/>
          <w:lang w:val="fr-FR" w:eastAsia="fr-FR"/>
        </w:rPr>
        <w:t>H</w:t>
      </w:r>
      <w:r>
        <w:rPr>
          <w:rStyle w:val="FontStyle11"/>
          <w:vertAlign w:val="subscript"/>
          <w:lang w:val="fr-FR" w:eastAsia="fr-FR"/>
        </w:rPr>
        <w:t>n</w:t>
      </w:r>
      <w:r>
        <w:rPr>
          <w:rStyle w:val="FontStyle11"/>
          <w:vertAlign w:val="superscript"/>
          <w:lang w:val="fr-FR" w:eastAsia="fr-FR"/>
        </w:rPr>
        <w:t>4</w:t>
      </w:r>
      <w:r w:rsidR="004561D7" w:rsidRPr="004561D7">
        <w:rPr>
          <w:rStyle w:val="FontStyle11"/>
          <w:vertAlign w:val="superscript"/>
          <w:lang w:val="fr-FR" w:eastAsia="fr-FR"/>
        </w:rPr>
        <w:t>-</w:t>
      </w:r>
      <w:r>
        <w:rPr>
          <w:rStyle w:val="FontStyle11"/>
          <w:lang w:val="fr-FR" w:eastAsia="fr-FR"/>
        </w:rPr>
        <w:t>, B</w:t>
      </w:r>
      <w:r>
        <w:rPr>
          <w:rStyle w:val="FontStyle11"/>
          <w:vertAlign w:val="subscript"/>
          <w:lang w:val="fr-FR" w:eastAsia="fr-FR"/>
        </w:rPr>
        <w:t>n</w:t>
      </w:r>
      <w:r>
        <w:rPr>
          <w:rStyle w:val="FontStyle11"/>
          <w:lang w:val="fr-FR" w:eastAsia="fr-FR"/>
        </w:rPr>
        <w:t>H</w:t>
      </w:r>
      <w:r>
        <w:rPr>
          <w:rStyle w:val="FontStyle11"/>
          <w:vertAlign w:val="subscript"/>
          <w:lang w:val="fr-FR" w:eastAsia="fr-FR"/>
        </w:rPr>
        <w:t>n</w:t>
      </w:r>
      <w:r w:rsidR="004561D7">
        <w:rPr>
          <w:rStyle w:val="FontStyle11"/>
          <w:vertAlign w:val="superscript"/>
          <w:lang w:val="fr-FR" w:eastAsia="fr-FR"/>
        </w:rPr>
        <w:t>-6</w:t>
      </w:r>
      <w:r>
        <w:rPr>
          <w:rStyle w:val="FontStyle11"/>
          <w:lang w:val="fr-FR" w:eastAsia="fr-FR"/>
        </w:rPr>
        <w:t>, B</w:t>
      </w:r>
      <w:r>
        <w:rPr>
          <w:rStyle w:val="FontStyle11"/>
          <w:vertAlign w:val="subscript"/>
          <w:lang w:val="fr-FR" w:eastAsia="fr-FR"/>
        </w:rPr>
        <w:t>n</w:t>
      </w:r>
      <w:r>
        <w:rPr>
          <w:rStyle w:val="FontStyle11"/>
          <w:lang w:val="fr-FR" w:eastAsia="fr-FR"/>
        </w:rPr>
        <w:t>H</w:t>
      </w:r>
      <w:r>
        <w:rPr>
          <w:rStyle w:val="FontStyle11"/>
          <w:vertAlign w:val="subscript"/>
          <w:lang w:val="fr-FR" w:eastAsia="fr-FR"/>
        </w:rPr>
        <w:t>n</w:t>
      </w:r>
      <w:r w:rsidR="004561D7">
        <w:rPr>
          <w:rStyle w:val="FontStyle11"/>
          <w:vertAlign w:val="superscript"/>
          <w:lang w:val="fr-FR" w:eastAsia="fr-FR"/>
        </w:rPr>
        <w:t>-8</w:t>
      </w:r>
      <w:r>
        <w:rPr>
          <w:rStyle w:val="FontStyle11"/>
          <w:lang w:val="fr-FR" w:eastAsia="fr-FR"/>
        </w:rPr>
        <w:t xml:space="preserve"> et qui, structuralement, sont reliés au dérivés closo </w:t>
      </w:r>
      <w:r>
        <w:rPr>
          <w:rStyle w:val="FontStyle11"/>
          <w:lang w:val="es-ES_tradnl" w:eastAsia="fr-FR"/>
        </w:rPr>
        <w:t>(</w:t>
      </w:r>
      <w:r>
        <w:rPr>
          <w:rStyle w:val="FontStyle11"/>
          <w:lang w:val="fr-FR" w:eastAsia="fr-FR"/>
        </w:rPr>
        <w:t xml:space="preserve"> B</w:t>
      </w:r>
      <w:r>
        <w:rPr>
          <w:rStyle w:val="FontStyle11"/>
          <w:vertAlign w:val="subscript"/>
          <w:lang w:val="fr-FR" w:eastAsia="fr-FR"/>
        </w:rPr>
        <w:t>n</w:t>
      </w:r>
      <w:r>
        <w:rPr>
          <w:rStyle w:val="FontStyle11"/>
          <w:lang w:val="fr-FR" w:eastAsia="fr-FR"/>
        </w:rPr>
        <w:t>H</w:t>
      </w:r>
      <w:r>
        <w:rPr>
          <w:rStyle w:val="FontStyle11"/>
          <w:vertAlign w:val="subscript"/>
          <w:lang w:val="fr-FR" w:eastAsia="fr-FR"/>
        </w:rPr>
        <w:t>n</w:t>
      </w:r>
      <w:r w:rsidR="005741D6">
        <w:rPr>
          <w:rStyle w:val="FontStyle11"/>
          <w:vertAlign w:val="superscript"/>
          <w:lang w:val="fr-FR" w:eastAsia="fr-FR"/>
        </w:rPr>
        <w:t>-2</w:t>
      </w:r>
      <w:r>
        <w:rPr>
          <w:rStyle w:val="FontStyle11"/>
          <w:lang w:val="es-ES_tradnl" w:eastAsia="fr-FR"/>
        </w:rPr>
        <w:t xml:space="preserve"> ),</w:t>
      </w:r>
      <w:r>
        <w:rPr>
          <w:rStyle w:val="FontStyle11"/>
          <w:lang w:val="fr-FR" w:eastAsia="fr-FR"/>
        </w:rPr>
        <w:t xml:space="preserve"> et d'autre part, aux clusters de métaux de transition.</w:t>
      </w:r>
    </w:p>
    <w:p w:rsidR="003F31BB" w:rsidRDefault="002F1EC2" w:rsidP="00493E77">
      <w:pPr>
        <w:pStyle w:val="Style3"/>
        <w:widowControl/>
        <w:spacing w:before="10" w:line="360" w:lineRule="auto"/>
        <w:ind w:firstLine="701"/>
        <w:rPr>
          <w:rStyle w:val="FontStyle11"/>
          <w:lang w:val="fr-FR" w:eastAsia="fr-FR"/>
        </w:rPr>
      </w:pPr>
      <w:r>
        <w:rPr>
          <w:rStyle w:val="FontStyle11"/>
          <w:lang w:val="fr-FR" w:eastAsia="fr-FR"/>
        </w:rPr>
        <w:t>Il est également envisageable d'aborder l'étude de ces différents clusters sous l'aspect de leur aromaticité probable, en évaluant leurs anisotropies et leurs exaltations magnétiques.</w:t>
      </w:r>
    </w:p>
    <w:p w:rsidR="00F9516F" w:rsidRDefault="00F9516F" w:rsidP="00493E77">
      <w:pPr>
        <w:pStyle w:val="Style3"/>
        <w:widowControl/>
        <w:spacing w:before="10" w:line="360" w:lineRule="auto"/>
        <w:ind w:firstLine="701"/>
        <w:rPr>
          <w:rStyle w:val="FontStyle11"/>
          <w:lang w:val="fr-FR" w:eastAsia="fr-FR"/>
        </w:rPr>
      </w:pPr>
    </w:p>
    <w:p w:rsidR="000F208C" w:rsidRDefault="002F1EC2" w:rsidP="00493E77">
      <w:pPr>
        <w:pStyle w:val="Style3"/>
        <w:widowControl/>
        <w:spacing w:line="360" w:lineRule="auto"/>
        <w:rPr>
          <w:rStyle w:val="FontStyle11"/>
          <w:lang w:val="fr-FR" w:eastAsia="fr-FR"/>
        </w:rPr>
      </w:pPr>
      <w:r>
        <w:rPr>
          <w:rStyle w:val="FontStyle11"/>
          <w:lang w:val="fr-FR" w:eastAsia="fr-FR"/>
        </w:rPr>
        <w:t>Nous avons abordé l'étude de l'isomérisation des clusters de borohydrures, en prenant B</w:t>
      </w:r>
      <w:r>
        <w:rPr>
          <w:rStyle w:val="FontStyle11"/>
          <w:vertAlign w:val="subscript"/>
          <w:lang w:val="fr-FR" w:eastAsia="fr-FR"/>
        </w:rPr>
        <w:t>6</w:t>
      </w:r>
      <w:r>
        <w:rPr>
          <w:rStyle w:val="FontStyle11"/>
          <w:lang w:val="fr-FR" w:eastAsia="fr-FR"/>
        </w:rPr>
        <w:t>H</w:t>
      </w:r>
      <w:r>
        <w:rPr>
          <w:rStyle w:val="FontStyle11"/>
          <w:vertAlign w:val="subscript"/>
          <w:lang w:val="fr-FR" w:eastAsia="fr-FR"/>
        </w:rPr>
        <w:t>6</w:t>
      </w:r>
      <w:r w:rsidR="004561D7">
        <w:rPr>
          <w:rStyle w:val="FontStyle11"/>
          <w:vertAlign w:val="superscript"/>
          <w:lang w:val="fr-FR" w:eastAsia="fr-FR"/>
        </w:rPr>
        <w:t>-2</w:t>
      </w:r>
      <w:r>
        <w:rPr>
          <w:rStyle w:val="FontStyle11"/>
          <w:lang w:val="fr-FR" w:eastAsia="fr-FR"/>
        </w:rPr>
        <w:t xml:space="preserve"> co</w:t>
      </w:r>
      <w:r w:rsidR="004561D7">
        <w:rPr>
          <w:rStyle w:val="FontStyle11"/>
          <w:lang w:val="fr-FR" w:eastAsia="fr-FR"/>
        </w:rPr>
        <w:t>m</w:t>
      </w:r>
      <w:r>
        <w:rPr>
          <w:rStyle w:val="FontStyle11"/>
          <w:lang w:val="fr-FR" w:eastAsia="fr-FR"/>
        </w:rPr>
        <w:t>me exemple. Nous comptons affiner les résultats obtenus et étendre cette étude aux autres composés de la série.</w:t>
      </w:r>
    </w:p>
    <w:sectPr w:rsidR="000F208C" w:rsidSect="003F31BB">
      <w:footerReference w:type="default" r:id="rId6"/>
      <w:footerReference w:type="first" r:id="rId7"/>
      <w:pgSz w:w="11905" w:h="16837"/>
      <w:pgMar w:top="1064" w:right="1592" w:bottom="1440" w:left="1044"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3A66" w:rsidRDefault="00003A66">
      <w:r>
        <w:separator/>
      </w:r>
    </w:p>
  </w:endnote>
  <w:endnote w:type="continuationSeparator" w:id="1">
    <w:p w:rsidR="00003A66" w:rsidRDefault="00003A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1BB" w:rsidRDefault="00241E70">
    <w:pPr>
      <w:pStyle w:val="Style1"/>
      <w:widowControl/>
      <w:ind w:left="3906" w:right="567"/>
      <w:jc w:val="both"/>
      <w:rPr>
        <w:rStyle w:val="FontStyle13"/>
        <w:lang w:val="fr-FR" w:eastAsia="fr-FR"/>
      </w:rPr>
    </w:pPr>
    <w:r>
      <w:rPr>
        <w:rStyle w:val="FontStyle13"/>
        <w:lang w:val="fr-FR" w:eastAsia="fr-FR"/>
      </w:rPr>
      <w:fldChar w:fldCharType="begin"/>
    </w:r>
    <w:r w:rsidR="002F1EC2">
      <w:rPr>
        <w:rStyle w:val="FontStyle13"/>
        <w:lang w:val="fr-FR" w:eastAsia="fr-FR"/>
      </w:rPr>
      <w:instrText>PAGE</w:instrText>
    </w:r>
    <w:r>
      <w:rPr>
        <w:rStyle w:val="FontStyle13"/>
        <w:lang w:val="fr-FR" w:eastAsia="fr-FR"/>
      </w:rPr>
      <w:fldChar w:fldCharType="separate"/>
    </w:r>
    <w:r w:rsidR="000771F5">
      <w:rPr>
        <w:rStyle w:val="FontStyle13"/>
        <w:noProof/>
        <w:lang w:val="fr-FR" w:eastAsia="fr-FR"/>
      </w:rPr>
      <w:t>1</w:t>
    </w:r>
    <w:r>
      <w:rPr>
        <w:rStyle w:val="FontStyle13"/>
        <w:lang w:val="fr-FR" w:eastAsia="fr-FR"/>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1BB" w:rsidRDefault="00241E70">
    <w:pPr>
      <w:pStyle w:val="Style4"/>
      <w:widowControl/>
      <w:ind w:left="4531"/>
      <w:jc w:val="both"/>
      <w:rPr>
        <w:rStyle w:val="FontStyle12"/>
      </w:rPr>
    </w:pPr>
    <w:r>
      <w:rPr>
        <w:rStyle w:val="FontStyle12"/>
      </w:rPr>
      <w:fldChar w:fldCharType="begin"/>
    </w:r>
    <w:r w:rsidR="002F1EC2">
      <w:rPr>
        <w:rStyle w:val="FontStyle12"/>
      </w:rPr>
      <w:instrText>PAGE</w:instrText>
    </w:r>
    <w:r>
      <w:rPr>
        <w:rStyle w:val="FontStyle12"/>
      </w:rPr>
      <w:fldChar w:fldCharType="separate"/>
    </w:r>
    <w:r w:rsidR="00F9516F">
      <w:rPr>
        <w:rStyle w:val="FontStyle12"/>
        <w:noProof/>
      </w:rPr>
      <w:t>1</w:t>
    </w:r>
    <w:r>
      <w:rPr>
        <w:rStyle w:val="FontStyle12"/>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3A66" w:rsidRDefault="00003A66">
      <w:r>
        <w:separator/>
      </w:r>
    </w:p>
  </w:footnote>
  <w:footnote w:type="continuationSeparator" w:id="1">
    <w:p w:rsidR="00003A66" w:rsidRDefault="00003A6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0F208C"/>
    <w:rsid w:val="00003A66"/>
    <w:rsid w:val="000771F5"/>
    <w:rsid w:val="000F208C"/>
    <w:rsid w:val="00241E70"/>
    <w:rsid w:val="002F1EC2"/>
    <w:rsid w:val="003F31BB"/>
    <w:rsid w:val="004561D7"/>
    <w:rsid w:val="00493E77"/>
    <w:rsid w:val="005741D6"/>
    <w:rsid w:val="006A1F6D"/>
    <w:rsid w:val="00F9516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31BB"/>
    <w:pPr>
      <w:widowControl w:val="0"/>
      <w:autoSpaceDE w:val="0"/>
      <w:autoSpaceDN w:val="0"/>
      <w:adjustRightInd w:val="0"/>
      <w:spacing w:after="0" w:line="240" w:lineRule="auto"/>
    </w:pPr>
    <w:rPr>
      <w:rFonts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3F31BB"/>
  </w:style>
  <w:style w:type="paragraph" w:customStyle="1" w:styleId="Style2">
    <w:name w:val="Style2"/>
    <w:basedOn w:val="Normal"/>
    <w:uiPriority w:val="99"/>
    <w:rsid w:val="003F31BB"/>
  </w:style>
  <w:style w:type="paragraph" w:customStyle="1" w:styleId="Style3">
    <w:name w:val="Style3"/>
    <w:basedOn w:val="Normal"/>
    <w:uiPriority w:val="99"/>
    <w:rsid w:val="003F31BB"/>
    <w:pPr>
      <w:spacing w:line="437" w:lineRule="exact"/>
      <w:ind w:firstLine="706"/>
      <w:jc w:val="both"/>
    </w:pPr>
  </w:style>
  <w:style w:type="paragraph" w:customStyle="1" w:styleId="Style4">
    <w:name w:val="Style4"/>
    <w:basedOn w:val="Normal"/>
    <w:uiPriority w:val="99"/>
    <w:rsid w:val="003F31BB"/>
  </w:style>
  <w:style w:type="character" w:customStyle="1" w:styleId="FontStyle11">
    <w:name w:val="Font Style11"/>
    <w:basedOn w:val="Policepardfaut"/>
    <w:uiPriority w:val="99"/>
    <w:rsid w:val="003F31BB"/>
    <w:rPr>
      <w:rFonts w:ascii="Times New Roman" w:hAnsi="Times New Roman" w:cs="Times New Roman"/>
      <w:sz w:val="24"/>
      <w:szCs w:val="24"/>
      <w:lang w:bidi="ar-SA"/>
    </w:rPr>
  </w:style>
  <w:style w:type="character" w:customStyle="1" w:styleId="FontStyle12">
    <w:name w:val="Font Style12"/>
    <w:basedOn w:val="Policepardfaut"/>
    <w:uiPriority w:val="99"/>
    <w:rsid w:val="003F31BB"/>
    <w:rPr>
      <w:rFonts w:ascii="Times New Roman" w:hAnsi="Times New Roman" w:cs="Times New Roman"/>
      <w:spacing w:val="10"/>
      <w:sz w:val="16"/>
      <w:szCs w:val="16"/>
      <w:lang w:bidi="ar-SA"/>
    </w:rPr>
  </w:style>
  <w:style w:type="character" w:customStyle="1" w:styleId="FontStyle13">
    <w:name w:val="Font Style13"/>
    <w:basedOn w:val="Policepardfaut"/>
    <w:uiPriority w:val="99"/>
    <w:rsid w:val="003F31BB"/>
    <w:rPr>
      <w:rFonts w:ascii="Trebuchet MS" w:hAnsi="Trebuchet MS" w:cs="Trebuchet MS"/>
      <w:sz w:val="18"/>
      <w:szCs w:val="18"/>
      <w:lang w:bidi="ar-SA"/>
    </w:rPr>
  </w:style>
  <w:style w:type="character" w:styleId="Lienhypertexte">
    <w:name w:val="Hyperlink"/>
    <w:basedOn w:val="Policepardfaut"/>
    <w:uiPriority w:val="99"/>
    <w:rsid w:val="003F31BB"/>
    <w:rPr>
      <w:color w:val="0066CC"/>
      <w:u w:val="single"/>
    </w:rPr>
  </w:style>
  <w:style w:type="paragraph" w:styleId="En-tte">
    <w:name w:val="header"/>
    <w:basedOn w:val="Normal"/>
    <w:link w:val="En-tteCar"/>
    <w:uiPriority w:val="99"/>
    <w:semiHidden/>
    <w:unhideWhenUsed/>
    <w:rsid w:val="006A1F6D"/>
    <w:pPr>
      <w:tabs>
        <w:tab w:val="center" w:pos="4153"/>
        <w:tab w:val="right" w:pos="8306"/>
      </w:tabs>
    </w:pPr>
  </w:style>
  <w:style w:type="character" w:customStyle="1" w:styleId="En-tteCar">
    <w:name w:val="En-tête Car"/>
    <w:basedOn w:val="Policepardfaut"/>
    <w:link w:val="En-tte"/>
    <w:uiPriority w:val="99"/>
    <w:semiHidden/>
    <w:rsid w:val="006A1F6D"/>
    <w:rPr>
      <w:rFonts w:hAnsi="Times New Roman" w:cs="Times New Roman"/>
      <w:sz w:val="24"/>
      <w:szCs w:val="24"/>
    </w:rPr>
  </w:style>
  <w:style w:type="paragraph" w:styleId="Pieddepage">
    <w:name w:val="footer"/>
    <w:basedOn w:val="Normal"/>
    <w:link w:val="PieddepageCar"/>
    <w:uiPriority w:val="99"/>
    <w:semiHidden/>
    <w:unhideWhenUsed/>
    <w:rsid w:val="006A1F6D"/>
    <w:pPr>
      <w:tabs>
        <w:tab w:val="center" w:pos="4153"/>
        <w:tab w:val="right" w:pos="8306"/>
      </w:tabs>
    </w:pPr>
  </w:style>
  <w:style w:type="character" w:customStyle="1" w:styleId="PieddepageCar">
    <w:name w:val="Pied de page Car"/>
    <w:basedOn w:val="Policepardfaut"/>
    <w:link w:val="Pieddepage"/>
    <w:uiPriority w:val="99"/>
    <w:semiHidden/>
    <w:rsid w:val="006A1F6D"/>
    <w:rPr>
      <w:rFonts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Pages>
  <Words>334</Words>
  <Characters>1910</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8</cp:revision>
  <dcterms:created xsi:type="dcterms:W3CDTF">2017-01-19T13:22:00Z</dcterms:created>
  <dcterms:modified xsi:type="dcterms:W3CDTF">2017-01-23T10:10:00Z</dcterms:modified>
</cp:coreProperties>
</file>