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27C" w:rsidRPr="005E227C" w:rsidRDefault="005E227C" w:rsidP="005E227C">
      <w:pPr>
        <w:bidi w:val="0"/>
        <w:rPr>
          <w:lang w:val="fr-FR" w:bidi="ar-DZ"/>
        </w:rPr>
      </w:pPr>
      <w:r w:rsidRPr="005E227C">
        <w:rPr>
          <w:lang w:val="fr-FR" w:bidi="ar-DZ"/>
        </w:rPr>
        <w:t xml:space="preserve">L’axe Djebel </w:t>
      </w:r>
      <w:proofErr w:type="spellStart"/>
      <w:r w:rsidRPr="005E227C">
        <w:rPr>
          <w:lang w:val="fr-FR" w:bidi="ar-DZ"/>
        </w:rPr>
        <w:t>Azreg</w:t>
      </w:r>
      <w:proofErr w:type="spellEnd"/>
      <w:r w:rsidRPr="005E227C">
        <w:rPr>
          <w:lang w:val="fr-FR" w:bidi="ar-DZ"/>
        </w:rPr>
        <w:t xml:space="preserve">-Djebel </w:t>
      </w:r>
      <w:proofErr w:type="spellStart"/>
      <w:r w:rsidRPr="005E227C">
        <w:rPr>
          <w:lang w:val="fr-FR" w:bidi="ar-DZ"/>
        </w:rPr>
        <w:t>Khenchela</w:t>
      </w:r>
      <w:proofErr w:type="spellEnd"/>
      <w:r w:rsidRPr="005E227C">
        <w:rPr>
          <w:lang w:val="fr-FR" w:bidi="ar-DZ"/>
        </w:rPr>
        <w:t xml:space="preserve">, recèle de nombreux petits gîtes à Ba-Pb (Zn-Cu-Hg) qui se répartissent en amas </w:t>
      </w:r>
      <w:proofErr w:type="spellStart"/>
      <w:r w:rsidRPr="005E227C">
        <w:rPr>
          <w:lang w:val="fr-FR" w:bidi="ar-DZ"/>
        </w:rPr>
        <w:t>stratoïdes</w:t>
      </w:r>
      <w:proofErr w:type="spellEnd"/>
      <w:r w:rsidRPr="005E227C">
        <w:rPr>
          <w:lang w:val="fr-FR" w:bidi="ar-DZ"/>
        </w:rPr>
        <w:t xml:space="preserve"> d’aspects lenticulaires dans les niveaux dolomitiques à </w:t>
      </w:r>
      <w:proofErr w:type="spellStart"/>
      <w:r w:rsidRPr="005E227C">
        <w:rPr>
          <w:lang w:val="fr-FR" w:bidi="ar-DZ"/>
        </w:rPr>
        <w:t>Orbitolines</w:t>
      </w:r>
      <w:proofErr w:type="spellEnd"/>
      <w:r w:rsidRPr="005E227C">
        <w:rPr>
          <w:lang w:val="fr-FR" w:bidi="ar-DZ"/>
        </w:rPr>
        <w:t xml:space="preserve">, alternés avec des calcaires, des marnes et des </w:t>
      </w:r>
      <w:proofErr w:type="spellStart"/>
      <w:r w:rsidRPr="005E227C">
        <w:rPr>
          <w:lang w:val="fr-FR" w:bidi="ar-DZ"/>
        </w:rPr>
        <w:t>pélites</w:t>
      </w:r>
      <w:proofErr w:type="spellEnd"/>
      <w:r w:rsidRPr="005E227C">
        <w:rPr>
          <w:lang w:val="fr-FR" w:bidi="ar-DZ"/>
        </w:rPr>
        <w:t xml:space="preserve"> sombres de l’Aptien inférieur (</w:t>
      </w:r>
      <w:proofErr w:type="spellStart"/>
      <w:r w:rsidRPr="005E227C">
        <w:rPr>
          <w:lang w:val="fr-FR" w:bidi="ar-DZ"/>
        </w:rPr>
        <w:t>Ichmoul</w:t>
      </w:r>
      <w:proofErr w:type="spellEnd"/>
      <w:r w:rsidRPr="005E227C">
        <w:rPr>
          <w:lang w:val="fr-FR" w:bidi="ar-DZ"/>
        </w:rPr>
        <w:t xml:space="preserve">), dans les filons et veines encaissés dans les formations </w:t>
      </w:r>
      <w:proofErr w:type="spellStart"/>
      <w:r w:rsidRPr="005E227C">
        <w:rPr>
          <w:lang w:val="fr-FR" w:bidi="ar-DZ"/>
        </w:rPr>
        <w:t>calcareo</w:t>
      </w:r>
      <w:proofErr w:type="spellEnd"/>
      <w:r w:rsidRPr="005E227C">
        <w:rPr>
          <w:lang w:val="fr-FR" w:bidi="ar-DZ"/>
        </w:rPr>
        <w:t xml:space="preserve">-dolomitiques et gréseux </w:t>
      </w:r>
      <w:proofErr w:type="spellStart"/>
      <w:r w:rsidRPr="005E227C">
        <w:rPr>
          <w:lang w:val="fr-FR" w:bidi="ar-DZ"/>
        </w:rPr>
        <w:t>albo</w:t>
      </w:r>
      <w:proofErr w:type="spellEnd"/>
      <w:r w:rsidRPr="005E227C">
        <w:rPr>
          <w:lang w:val="fr-FR" w:bidi="ar-DZ"/>
        </w:rPr>
        <w:t>-aptiens (</w:t>
      </w:r>
      <w:proofErr w:type="spellStart"/>
      <w:r w:rsidRPr="005E227C">
        <w:rPr>
          <w:lang w:val="fr-FR" w:bidi="ar-DZ"/>
        </w:rPr>
        <w:t>Aïn</w:t>
      </w:r>
      <w:proofErr w:type="spellEnd"/>
      <w:r w:rsidRPr="005E227C">
        <w:rPr>
          <w:lang w:val="fr-FR" w:bidi="ar-DZ"/>
        </w:rPr>
        <w:t xml:space="preserve"> Mimoun) et dans les veines et imprégnations dans les grès et argiles de l’Hauterivien (</w:t>
      </w:r>
      <w:proofErr w:type="spellStart"/>
      <w:r w:rsidRPr="005E227C">
        <w:rPr>
          <w:lang w:val="fr-FR" w:bidi="ar-DZ"/>
        </w:rPr>
        <w:t>Taghit</w:t>
      </w:r>
      <w:proofErr w:type="spellEnd"/>
      <w:r w:rsidRPr="005E227C">
        <w:rPr>
          <w:lang w:val="fr-FR" w:bidi="ar-DZ"/>
        </w:rPr>
        <w:t xml:space="preserve">-El </w:t>
      </w:r>
      <w:proofErr w:type="spellStart"/>
      <w:r w:rsidRPr="005E227C">
        <w:rPr>
          <w:lang w:val="fr-FR" w:bidi="ar-DZ"/>
        </w:rPr>
        <w:t>Hrig</w:t>
      </w:r>
      <w:proofErr w:type="spellEnd"/>
      <w:r w:rsidRPr="005E227C">
        <w:rPr>
          <w:lang w:val="fr-FR" w:bidi="ar-DZ"/>
        </w:rPr>
        <w:t>).</w:t>
      </w:r>
    </w:p>
    <w:p w:rsidR="005E227C" w:rsidRPr="005E227C" w:rsidRDefault="005E227C" w:rsidP="005E227C">
      <w:pPr>
        <w:bidi w:val="0"/>
        <w:rPr>
          <w:lang w:val="fr-FR" w:bidi="ar-DZ"/>
        </w:rPr>
      </w:pPr>
      <w:r w:rsidRPr="005E227C">
        <w:rPr>
          <w:lang w:val="fr-FR" w:bidi="ar-DZ"/>
        </w:rPr>
        <w:t xml:space="preserve">Ces minéralisations sont caractérisées par une association minérale composée principalement de barytine, galène, accompagnées localement par du cuivre gris, du cinabre, de la chalcopyrite, de la pyrite et divers produits d’oxydation. Les textures des minerais sont de type extensif, représentées surtout par des brèches d’effondrement, des rubanements, des disséminations et des veinules. L’étude pétrographique et </w:t>
      </w:r>
      <w:proofErr w:type="spellStart"/>
      <w:r w:rsidRPr="005E227C">
        <w:rPr>
          <w:lang w:val="fr-FR" w:bidi="ar-DZ"/>
        </w:rPr>
        <w:t>métallogénique</w:t>
      </w:r>
      <w:proofErr w:type="spellEnd"/>
      <w:r w:rsidRPr="005E227C">
        <w:rPr>
          <w:lang w:val="fr-FR" w:bidi="ar-DZ"/>
        </w:rPr>
        <w:t xml:space="preserve"> montre une mise en place de façon </w:t>
      </w:r>
      <w:proofErr w:type="spellStart"/>
      <w:r w:rsidRPr="005E227C">
        <w:rPr>
          <w:lang w:val="fr-FR" w:bidi="ar-DZ"/>
        </w:rPr>
        <w:t>épigénétique</w:t>
      </w:r>
      <w:proofErr w:type="spellEnd"/>
      <w:r w:rsidRPr="005E227C">
        <w:rPr>
          <w:lang w:val="fr-FR" w:bidi="ar-DZ"/>
        </w:rPr>
        <w:t>, liée à des phénomènes de dissolution-recristallisation (dolomitisation-</w:t>
      </w:r>
      <w:proofErr w:type="spellStart"/>
      <w:r w:rsidRPr="005E227C">
        <w:rPr>
          <w:lang w:val="fr-FR" w:bidi="ar-DZ"/>
        </w:rPr>
        <w:t>silicification</w:t>
      </w:r>
      <w:proofErr w:type="spellEnd"/>
      <w:r w:rsidRPr="005E227C">
        <w:rPr>
          <w:lang w:val="fr-FR" w:bidi="ar-DZ"/>
        </w:rPr>
        <w:t xml:space="preserve">) et de </w:t>
      </w:r>
      <w:proofErr w:type="spellStart"/>
      <w:r w:rsidRPr="005E227C">
        <w:rPr>
          <w:lang w:val="fr-FR" w:bidi="ar-DZ"/>
        </w:rPr>
        <w:t>Kaolinitisation</w:t>
      </w:r>
      <w:proofErr w:type="spellEnd"/>
      <w:r w:rsidRPr="005E227C">
        <w:rPr>
          <w:lang w:val="fr-FR" w:bidi="ar-DZ"/>
        </w:rPr>
        <w:t xml:space="preserve"> (particulièrement dans le gîte de </w:t>
      </w:r>
      <w:proofErr w:type="spellStart"/>
      <w:r w:rsidRPr="005E227C">
        <w:rPr>
          <w:lang w:val="fr-FR" w:bidi="ar-DZ"/>
        </w:rPr>
        <w:t>Taghit</w:t>
      </w:r>
      <w:proofErr w:type="spellEnd"/>
      <w:r w:rsidRPr="005E227C">
        <w:rPr>
          <w:lang w:val="fr-FR" w:bidi="ar-DZ"/>
        </w:rPr>
        <w:t>).</w:t>
      </w:r>
    </w:p>
    <w:p w:rsidR="005E227C" w:rsidRPr="005E227C" w:rsidRDefault="005E227C" w:rsidP="005E227C">
      <w:pPr>
        <w:bidi w:val="0"/>
        <w:rPr>
          <w:lang w:val="fr-FR" w:bidi="ar-DZ"/>
        </w:rPr>
      </w:pPr>
      <w:r w:rsidRPr="005E227C">
        <w:rPr>
          <w:lang w:val="fr-FR" w:bidi="ar-DZ"/>
        </w:rPr>
        <w:t xml:space="preserve">L’étude </w:t>
      </w:r>
      <w:proofErr w:type="spellStart"/>
      <w:r w:rsidRPr="005E227C">
        <w:rPr>
          <w:lang w:val="fr-FR" w:bidi="ar-DZ"/>
        </w:rPr>
        <w:t>microthemométrique</w:t>
      </w:r>
      <w:proofErr w:type="spellEnd"/>
      <w:r w:rsidRPr="005E227C">
        <w:rPr>
          <w:lang w:val="fr-FR" w:bidi="ar-DZ"/>
        </w:rPr>
        <w:t xml:space="preserve"> des inclusions fluides piégées dans divers minéraux (quartz, barytine et calcite) associés aux minéralisations d’</w:t>
      </w:r>
      <w:proofErr w:type="spellStart"/>
      <w:r w:rsidRPr="005E227C">
        <w:rPr>
          <w:lang w:val="fr-FR" w:bidi="ar-DZ"/>
        </w:rPr>
        <w:t>Ichmoul</w:t>
      </w:r>
      <w:proofErr w:type="spellEnd"/>
      <w:r w:rsidRPr="005E227C">
        <w:rPr>
          <w:lang w:val="fr-FR" w:bidi="ar-DZ"/>
        </w:rPr>
        <w:t xml:space="preserve"> et d’</w:t>
      </w:r>
      <w:proofErr w:type="spellStart"/>
      <w:r w:rsidRPr="005E227C">
        <w:rPr>
          <w:lang w:val="fr-FR" w:bidi="ar-DZ"/>
        </w:rPr>
        <w:t>Aïn</w:t>
      </w:r>
      <w:proofErr w:type="spellEnd"/>
      <w:r w:rsidRPr="005E227C">
        <w:rPr>
          <w:lang w:val="fr-FR" w:bidi="ar-DZ"/>
        </w:rPr>
        <w:t xml:space="preserve"> Mimoun montre des fluides salés (riches en Ca, Na et Cl) et relativement chauds (100°C à 250 °C). Ces caractéristiques correspondent à des fluides des eaux de formation issues de bassins sédimentaires et montrent une analogie avec les gîtes localisés au NW dans le </w:t>
      </w:r>
      <w:proofErr w:type="spellStart"/>
      <w:r w:rsidRPr="005E227C">
        <w:rPr>
          <w:lang w:val="fr-FR" w:bidi="ar-DZ"/>
        </w:rPr>
        <w:t>Hodna</w:t>
      </w:r>
      <w:proofErr w:type="spellEnd"/>
      <w:r w:rsidRPr="005E227C">
        <w:rPr>
          <w:lang w:val="fr-FR" w:bidi="ar-DZ"/>
        </w:rPr>
        <w:t>-</w:t>
      </w:r>
      <w:proofErr w:type="spellStart"/>
      <w:r w:rsidRPr="005E227C">
        <w:rPr>
          <w:lang w:val="fr-FR" w:bidi="ar-DZ"/>
        </w:rPr>
        <w:t>Sétifien</w:t>
      </w:r>
      <w:proofErr w:type="spellEnd"/>
      <w:r w:rsidRPr="005E227C">
        <w:rPr>
          <w:lang w:val="fr-FR" w:bidi="ar-DZ"/>
        </w:rPr>
        <w:t xml:space="preserve"> (</w:t>
      </w:r>
      <w:proofErr w:type="spellStart"/>
      <w:r w:rsidRPr="005E227C">
        <w:rPr>
          <w:lang w:val="fr-FR" w:bidi="ar-DZ"/>
        </w:rPr>
        <w:t>Boutaleb</w:t>
      </w:r>
      <w:proofErr w:type="spellEnd"/>
      <w:r w:rsidRPr="005E227C">
        <w:rPr>
          <w:lang w:val="fr-FR" w:bidi="ar-DZ"/>
        </w:rPr>
        <w:t xml:space="preserve"> et al, 2000; </w:t>
      </w:r>
      <w:proofErr w:type="spellStart"/>
      <w:r w:rsidRPr="005E227C">
        <w:rPr>
          <w:lang w:val="fr-FR" w:bidi="ar-DZ"/>
        </w:rPr>
        <w:t>Boutaleb</w:t>
      </w:r>
      <w:proofErr w:type="spellEnd"/>
      <w:r w:rsidRPr="005E227C">
        <w:rPr>
          <w:lang w:val="fr-FR" w:bidi="ar-DZ"/>
        </w:rPr>
        <w:t>, 2001) ou au NE dans la zone des diapirs (</w:t>
      </w:r>
      <w:proofErr w:type="spellStart"/>
      <w:r w:rsidRPr="005E227C">
        <w:rPr>
          <w:lang w:val="fr-FR" w:bidi="ar-DZ"/>
        </w:rPr>
        <w:t>Akrour</w:t>
      </w:r>
      <w:proofErr w:type="spellEnd"/>
      <w:r w:rsidRPr="005E227C">
        <w:rPr>
          <w:lang w:val="fr-FR" w:bidi="ar-DZ"/>
        </w:rPr>
        <w:t xml:space="preserve">, 1991; </w:t>
      </w:r>
      <w:proofErr w:type="spellStart"/>
      <w:r w:rsidRPr="005E227C">
        <w:rPr>
          <w:lang w:val="fr-FR" w:bidi="ar-DZ"/>
        </w:rPr>
        <w:t>Bouzenoune</w:t>
      </w:r>
      <w:proofErr w:type="spellEnd"/>
      <w:r w:rsidRPr="005E227C">
        <w:rPr>
          <w:lang w:val="fr-FR" w:bidi="ar-DZ"/>
        </w:rPr>
        <w:t xml:space="preserve">, 1993; </w:t>
      </w:r>
      <w:proofErr w:type="spellStart"/>
      <w:r w:rsidRPr="005E227C">
        <w:rPr>
          <w:lang w:val="fr-FR" w:bidi="ar-DZ"/>
        </w:rPr>
        <w:t>Haddouche</w:t>
      </w:r>
      <w:proofErr w:type="spellEnd"/>
      <w:r w:rsidRPr="005E227C">
        <w:rPr>
          <w:lang w:val="fr-FR" w:bidi="ar-DZ"/>
        </w:rPr>
        <w:t xml:space="preserve"> et al; 2004 ; Sami, thèse en cours) et même plus au Nord dans le domaine interne (</w:t>
      </w:r>
      <w:proofErr w:type="spellStart"/>
      <w:r w:rsidRPr="005E227C">
        <w:rPr>
          <w:lang w:val="fr-FR" w:bidi="ar-DZ"/>
        </w:rPr>
        <w:t>Kolli</w:t>
      </w:r>
      <w:proofErr w:type="spellEnd"/>
      <w:r w:rsidRPr="005E227C">
        <w:rPr>
          <w:lang w:val="fr-FR" w:bidi="ar-DZ"/>
        </w:rPr>
        <w:t xml:space="preserve"> et al, 1999).</w:t>
      </w:r>
    </w:p>
    <w:p w:rsidR="005E227C" w:rsidRPr="005E227C" w:rsidRDefault="005E227C" w:rsidP="005E227C">
      <w:pPr>
        <w:bidi w:val="0"/>
        <w:rPr>
          <w:lang w:val="fr-FR" w:bidi="ar-DZ"/>
        </w:rPr>
      </w:pPr>
      <w:r w:rsidRPr="005E227C">
        <w:rPr>
          <w:lang w:val="fr-FR" w:bidi="ar-DZ"/>
        </w:rPr>
        <w:t xml:space="preserve">Les gîtes liés au segment NE de Djebel </w:t>
      </w:r>
      <w:proofErr w:type="spellStart"/>
      <w:r w:rsidRPr="005E227C">
        <w:rPr>
          <w:lang w:val="fr-FR" w:bidi="ar-DZ"/>
        </w:rPr>
        <w:t>Azreg</w:t>
      </w:r>
      <w:proofErr w:type="spellEnd"/>
      <w:r w:rsidRPr="005E227C">
        <w:rPr>
          <w:lang w:val="fr-FR" w:bidi="ar-DZ"/>
        </w:rPr>
        <w:t xml:space="preserve">-Djebel </w:t>
      </w:r>
      <w:proofErr w:type="spellStart"/>
      <w:r w:rsidRPr="005E227C">
        <w:rPr>
          <w:lang w:val="fr-FR" w:bidi="ar-DZ"/>
        </w:rPr>
        <w:t>Khenchela</w:t>
      </w:r>
      <w:proofErr w:type="spellEnd"/>
      <w:r w:rsidRPr="005E227C">
        <w:rPr>
          <w:lang w:val="fr-FR" w:bidi="ar-DZ"/>
        </w:rPr>
        <w:t>, ainsi que ceux observés plus au nord dans les monts de Batna (</w:t>
      </w:r>
      <w:proofErr w:type="spellStart"/>
      <w:r w:rsidRPr="005E227C">
        <w:rPr>
          <w:lang w:val="fr-FR" w:bidi="ar-DZ"/>
        </w:rPr>
        <w:t>Djendeli</w:t>
      </w:r>
      <w:proofErr w:type="spellEnd"/>
      <w:r w:rsidRPr="005E227C">
        <w:rPr>
          <w:lang w:val="fr-FR" w:bidi="ar-DZ"/>
        </w:rPr>
        <w:t xml:space="preserve">, </w:t>
      </w:r>
      <w:proofErr w:type="spellStart"/>
      <w:r w:rsidRPr="005E227C">
        <w:rPr>
          <w:lang w:val="fr-FR" w:bidi="ar-DZ"/>
        </w:rPr>
        <w:t>Tenoun</w:t>
      </w:r>
      <w:proofErr w:type="spellEnd"/>
      <w:r w:rsidRPr="005E227C">
        <w:rPr>
          <w:lang w:val="fr-FR" w:bidi="ar-DZ"/>
        </w:rPr>
        <w:t xml:space="preserve"> </w:t>
      </w:r>
      <w:proofErr w:type="spellStart"/>
      <w:r w:rsidRPr="005E227C">
        <w:rPr>
          <w:lang w:val="fr-FR" w:bidi="ar-DZ"/>
        </w:rPr>
        <w:t>Kenine</w:t>
      </w:r>
      <w:proofErr w:type="spellEnd"/>
      <w:r w:rsidRPr="005E227C">
        <w:rPr>
          <w:lang w:val="fr-FR" w:bidi="ar-DZ"/>
        </w:rPr>
        <w:t xml:space="preserve">) montrent une distribution selon des axes NE. Ces minéralisations se calquent sur des accidents majeurs de socle (avec des ruptures locales matérialisées par des accidents NW-SE), délimitant de part et d’autre le bassin </w:t>
      </w:r>
      <w:proofErr w:type="spellStart"/>
      <w:r w:rsidRPr="005E227C">
        <w:rPr>
          <w:lang w:val="fr-FR" w:bidi="ar-DZ"/>
        </w:rPr>
        <w:t>subsident</w:t>
      </w:r>
      <w:proofErr w:type="spellEnd"/>
      <w:r w:rsidRPr="005E227C">
        <w:rPr>
          <w:lang w:val="fr-FR" w:bidi="ar-DZ"/>
        </w:rPr>
        <w:t xml:space="preserve"> de Timgad. Ce genre d’accidents sont responsables de la structuration en blocs basculés des bassins sédimentaires du NE algérien, initiées au Jurassique (</w:t>
      </w:r>
      <w:proofErr w:type="spellStart"/>
      <w:r w:rsidRPr="005E227C">
        <w:rPr>
          <w:lang w:val="fr-FR" w:bidi="ar-DZ"/>
        </w:rPr>
        <w:t>Herkat</w:t>
      </w:r>
      <w:proofErr w:type="spellEnd"/>
      <w:r w:rsidRPr="005E227C">
        <w:rPr>
          <w:lang w:val="fr-FR" w:bidi="ar-DZ"/>
        </w:rPr>
        <w:t>, 1999).</w:t>
      </w:r>
    </w:p>
    <w:p w:rsidR="001F4172" w:rsidRPr="005E227C" w:rsidRDefault="005E227C" w:rsidP="005E227C">
      <w:pPr>
        <w:bidi w:val="0"/>
        <w:rPr>
          <w:rFonts w:hint="cs"/>
          <w:lang w:val="fr-FR" w:bidi="ar-DZ"/>
        </w:rPr>
      </w:pPr>
      <w:r w:rsidRPr="005E227C">
        <w:rPr>
          <w:lang w:val="fr-FR" w:bidi="ar-DZ"/>
        </w:rPr>
        <w:t xml:space="preserve">Les événements géodynamiques de convergences durant la phase Eocène supérieur « intra-lutétienne » à Miocène (Guiraud, 1973; </w:t>
      </w:r>
      <w:proofErr w:type="spellStart"/>
      <w:r w:rsidRPr="005E227C">
        <w:rPr>
          <w:lang w:val="fr-FR" w:bidi="ar-DZ"/>
        </w:rPr>
        <w:t>Obert</w:t>
      </w:r>
      <w:proofErr w:type="spellEnd"/>
      <w:r w:rsidRPr="005E227C">
        <w:rPr>
          <w:lang w:val="fr-FR" w:bidi="ar-DZ"/>
        </w:rPr>
        <w:t xml:space="preserve">, 1974; </w:t>
      </w:r>
      <w:proofErr w:type="spellStart"/>
      <w:r w:rsidRPr="005E227C">
        <w:rPr>
          <w:lang w:val="fr-FR" w:bidi="ar-DZ"/>
        </w:rPr>
        <w:t>Mahdjoub</w:t>
      </w:r>
      <w:proofErr w:type="spellEnd"/>
      <w:r w:rsidRPr="005E227C">
        <w:rPr>
          <w:lang w:val="fr-FR" w:bidi="ar-DZ"/>
        </w:rPr>
        <w:t xml:space="preserve">, 1991; </w:t>
      </w:r>
      <w:proofErr w:type="spellStart"/>
      <w:r w:rsidRPr="005E227C">
        <w:rPr>
          <w:lang w:val="fr-FR" w:bidi="ar-DZ"/>
        </w:rPr>
        <w:t>Aïssaoui</w:t>
      </w:r>
      <w:proofErr w:type="spellEnd"/>
      <w:r w:rsidRPr="005E227C">
        <w:rPr>
          <w:lang w:val="fr-FR" w:bidi="ar-DZ"/>
        </w:rPr>
        <w:t xml:space="preserve">, 1984 ; </w:t>
      </w:r>
      <w:proofErr w:type="spellStart"/>
      <w:r w:rsidRPr="005E227C">
        <w:rPr>
          <w:lang w:val="fr-FR" w:bidi="ar-DZ"/>
        </w:rPr>
        <w:t>Addoum</w:t>
      </w:r>
      <w:proofErr w:type="spellEnd"/>
      <w:r w:rsidRPr="005E227C">
        <w:rPr>
          <w:lang w:val="fr-FR" w:bidi="ar-DZ"/>
        </w:rPr>
        <w:t xml:space="preserve">, 1995; </w:t>
      </w:r>
      <w:proofErr w:type="spellStart"/>
      <w:r w:rsidRPr="005E227C">
        <w:rPr>
          <w:lang w:val="fr-FR" w:bidi="ar-DZ"/>
        </w:rPr>
        <w:t>Herkat</w:t>
      </w:r>
      <w:proofErr w:type="spellEnd"/>
      <w:r w:rsidRPr="005E227C">
        <w:rPr>
          <w:lang w:val="fr-FR" w:bidi="ar-DZ"/>
        </w:rPr>
        <w:t xml:space="preserve">, 1999 ; </w:t>
      </w:r>
      <w:proofErr w:type="spellStart"/>
      <w:r w:rsidRPr="005E227C">
        <w:rPr>
          <w:lang w:val="fr-FR" w:bidi="ar-DZ"/>
        </w:rPr>
        <w:t>Marmi</w:t>
      </w:r>
      <w:proofErr w:type="spellEnd"/>
      <w:r w:rsidRPr="005E227C">
        <w:rPr>
          <w:lang w:val="fr-FR" w:bidi="ar-DZ"/>
        </w:rPr>
        <w:t xml:space="preserve"> et Guiraud, 2006) sont probablement responsables de l’expulsion de fluides minéralisateurs des bassins </w:t>
      </w:r>
      <w:proofErr w:type="spellStart"/>
      <w:r w:rsidRPr="005E227C">
        <w:rPr>
          <w:lang w:val="fr-FR" w:bidi="ar-DZ"/>
        </w:rPr>
        <w:t>subsidents</w:t>
      </w:r>
      <w:proofErr w:type="spellEnd"/>
      <w:r w:rsidRPr="005E227C">
        <w:rPr>
          <w:lang w:val="fr-FR" w:bidi="ar-DZ"/>
        </w:rPr>
        <w:t xml:space="preserve">, selon le modèle de Van Balen et </w:t>
      </w:r>
      <w:proofErr w:type="spellStart"/>
      <w:r w:rsidRPr="005E227C">
        <w:rPr>
          <w:lang w:val="fr-FR" w:bidi="ar-DZ"/>
        </w:rPr>
        <w:t>Cloetingh</w:t>
      </w:r>
      <w:proofErr w:type="spellEnd"/>
      <w:r w:rsidRPr="005E227C">
        <w:rPr>
          <w:lang w:val="fr-FR" w:bidi="ar-DZ"/>
        </w:rPr>
        <w:t xml:space="preserve">. (1994) </w:t>
      </w:r>
      <w:proofErr w:type="gramStart"/>
      <w:r w:rsidRPr="005E227C">
        <w:rPr>
          <w:lang w:val="fr-FR" w:bidi="ar-DZ"/>
        </w:rPr>
        <w:t>et</w:t>
      </w:r>
      <w:proofErr w:type="gramEnd"/>
      <w:r w:rsidRPr="005E227C">
        <w:rPr>
          <w:lang w:val="fr-FR" w:bidi="ar-DZ"/>
        </w:rPr>
        <w:t xml:space="preserve"> tel que proposé par </w:t>
      </w:r>
      <w:proofErr w:type="spellStart"/>
      <w:r w:rsidRPr="005E227C">
        <w:rPr>
          <w:lang w:val="fr-FR" w:bidi="ar-DZ"/>
        </w:rPr>
        <w:t>Boutaleb</w:t>
      </w:r>
      <w:proofErr w:type="spellEnd"/>
      <w:r w:rsidRPr="005E227C">
        <w:rPr>
          <w:lang w:val="fr-FR" w:bidi="ar-DZ"/>
        </w:rPr>
        <w:t xml:space="preserve"> (2001) pour les minéralisations du </w:t>
      </w:r>
      <w:proofErr w:type="spellStart"/>
      <w:r w:rsidRPr="005E227C">
        <w:rPr>
          <w:lang w:val="fr-FR" w:bidi="ar-DZ"/>
        </w:rPr>
        <w:t>sétifien</w:t>
      </w:r>
      <w:proofErr w:type="spellEnd"/>
      <w:r w:rsidRPr="005E227C">
        <w:rPr>
          <w:lang w:val="fr-FR" w:bidi="ar-DZ"/>
        </w:rPr>
        <w:t>-</w:t>
      </w:r>
      <w:proofErr w:type="spellStart"/>
      <w:r w:rsidRPr="005E227C">
        <w:rPr>
          <w:lang w:val="fr-FR" w:bidi="ar-DZ"/>
        </w:rPr>
        <w:t>Hodna</w:t>
      </w:r>
      <w:proofErr w:type="spellEnd"/>
      <w:r w:rsidRPr="005E227C">
        <w:rPr>
          <w:lang w:val="fr-FR" w:bidi="ar-DZ"/>
        </w:rPr>
        <w:t xml:space="preserve">, suivie du dépôt des minéralisations de type amas </w:t>
      </w:r>
      <w:proofErr w:type="spellStart"/>
      <w:r w:rsidRPr="005E227C">
        <w:rPr>
          <w:lang w:val="fr-FR" w:bidi="ar-DZ"/>
        </w:rPr>
        <w:t>stratoïdes</w:t>
      </w:r>
      <w:proofErr w:type="spellEnd"/>
      <w:r w:rsidRPr="005E227C">
        <w:rPr>
          <w:lang w:val="fr-FR" w:bidi="ar-DZ"/>
        </w:rPr>
        <w:t xml:space="preserve"> (en lentilles et disséminations dans les calcaires </w:t>
      </w:r>
      <w:proofErr w:type="spellStart"/>
      <w:r w:rsidRPr="005E227C">
        <w:rPr>
          <w:lang w:val="fr-FR" w:bidi="ar-DZ"/>
        </w:rPr>
        <w:t>dolomitisés</w:t>
      </w:r>
      <w:proofErr w:type="spellEnd"/>
      <w:r w:rsidRPr="005E227C">
        <w:rPr>
          <w:lang w:val="fr-FR" w:bidi="ar-DZ"/>
        </w:rPr>
        <w:t xml:space="preserve"> du Crétacé inférieur).</w:t>
      </w:r>
    </w:p>
    <w:sectPr w:rsidR="001F4172" w:rsidRPr="005E227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E227C"/>
    <w:rsid w:val="001F4172"/>
    <w:rsid w:val="005E227C"/>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2498</Characters>
  <Application>Microsoft Office Word</Application>
  <DocSecurity>0</DocSecurity>
  <Lines>20</Lines>
  <Paragraphs>5</Paragraphs>
  <ScaleCrop>false</ScaleCrop>
  <Company/>
  <LinksUpToDate>false</LinksUpToDate>
  <CharactersWithSpaces>2931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2014-12-08T10:36:00Z</dcterms:created>
  <dcterms:modified xsi:type="dcterms:W3CDTF">2014-12-08T10:37:00Z</dcterms:modified>
</cp:coreProperties>
</file>