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20427A" w:rsidRDefault="0020427A" w:rsidP="0020427A">
      <w:r w:rsidRPr="0020427A">
        <w:rPr>
          <w:noProof/>
          <w:sz w:val="32"/>
          <w:szCs w:val="32"/>
        </w:rPr>
        <w:t>L'objectif de ce travail est de caractériser les SARM responsables d'infection et de colonisation. La prévalence globale des SARM était de 42%, ce taux était de  31% en communauté et de  53 % en milieu hospitalier, le taux de PVL était de 45%.  Les SARM diffusent dans notre communauté de façon clonale à travers le clone communautaire ST80, majoritaire parmi nos souches. Les forts taux de portage de S. aureus (55%), de SARM (5,4%) et de PVL (6,2%) expliquent  la recrudescence des infections à SARM. le nez seul n'est plus représentatif du taux de portage, la gorge et la marge anale sont des réservoirs non négligeables de SASM, SARM ainsi que de PVL</w:t>
      </w:r>
    </w:p>
    <w:sectPr w:rsidR="00793BD2" w:rsidRPr="0020427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91B5E"/>
    <w:rsid w:val="002A6604"/>
    <w:rsid w:val="004E21CC"/>
    <w:rsid w:val="005F47AF"/>
    <w:rsid w:val="006A108A"/>
    <w:rsid w:val="00730B08"/>
    <w:rsid w:val="00793BD2"/>
    <w:rsid w:val="00A33BCB"/>
    <w:rsid w:val="00BB73B1"/>
    <w:rsid w:val="00DB67EC"/>
    <w:rsid w:val="00E34C0C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</cp:revision>
  <dcterms:created xsi:type="dcterms:W3CDTF">2015-01-07T09:27:00Z</dcterms:created>
  <dcterms:modified xsi:type="dcterms:W3CDTF">2015-01-11T13:31:00Z</dcterms:modified>
</cp:coreProperties>
</file>