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7998" w:rsidRPr="00E37998" w:rsidRDefault="009F08C4" w:rsidP="00E37998">
      <w:pPr>
        <w:pStyle w:val="Titre9"/>
        <w:spacing w:before="0" w:line="360" w:lineRule="auto"/>
        <w:ind w:firstLine="0"/>
        <w:jc w:val="center"/>
        <w:rPr>
          <w:rFonts w:asciiTheme="majorBidi" w:hAnsiTheme="majorBidi"/>
          <w:b/>
          <w:bCs/>
          <w:i w:val="0"/>
          <w:iCs w:val="0"/>
          <w:color w:val="auto"/>
          <w:sz w:val="28"/>
          <w:szCs w:val="28"/>
        </w:rPr>
      </w:pPr>
      <w:r w:rsidRPr="002F6406">
        <w:rPr>
          <w:rFonts w:asciiTheme="majorBidi" w:hAnsiTheme="majorBidi"/>
          <w:b/>
          <w:bCs/>
          <w:i w:val="0"/>
          <w:iCs w:val="0"/>
          <w:color w:val="auto"/>
          <w:sz w:val="28"/>
          <w:szCs w:val="28"/>
        </w:rPr>
        <w:t>Résumé</w:t>
      </w:r>
      <w:r w:rsidR="008767B8">
        <w:rPr>
          <w:rFonts w:asciiTheme="majorBidi" w:hAnsiTheme="majorBidi"/>
          <w:b/>
          <w:bCs/>
          <w:i w:val="0"/>
          <w:iCs w:val="0"/>
          <w:color w:val="auto"/>
          <w:sz w:val="28"/>
          <w:szCs w:val="28"/>
        </w:rPr>
        <w:t xml:space="preserve"> </w:t>
      </w:r>
      <w:bookmarkStart w:id="0" w:name="_GoBack"/>
      <w:bookmarkEnd w:id="0"/>
    </w:p>
    <w:p w:rsidR="00FD3B54" w:rsidRPr="00D573FA" w:rsidRDefault="00FD3B54" w:rsidP="00FD3B54">
      <w:pPr>
        <w:rPr>
          <w:sz w:val="4"/>
          <w:szCs w:val="4"/>
        </w:rPr>
      </w:pPr>
    </w:p>
    <w:p w:rsidR="00D31ADE" w:rsidRDefault="009F08C4" w:rsidP="005B24E7">
      <w:pPr>
        <w:pStyle w:val="Titre9"/>
        <w:spacing w:before="0"/>
        <w:ind w:firstLine="567"/>
        <w:jc w:val="both"/>
        <w:rPr>
          <w:rFonts w:asciiTheme="majorBidi" w:hAnsiTheme="majorBidi"/>
          <w:i w:val="0"/>
          <w:iCs w:val="0"/>
          <w:color w:val="auto"/>
          <w:sz w:val="24"/>
          <w:szCs w:val="24"/>
        </w:rPr>
      </w:pPr>
      <w:r w:rsidRPr="009F08C4">
        <w:rPr>
          <w:rFonts w:asciiTheme="majorBidi" w:hAnsiTheme="majorBidi"/>
          <w:i w:val="0"/>
          <w:iCs w:val="0"/>
          <w:color w:val="auto"/>
          <w:sz w:val="24"/>
          <w:szCs w:val="24"/>
        </w:rPr>
        <w:t xml:space="preserve">L’approche de l'étude de la diversité floristique et écologique des forêts s’avère une étape importante pour une meilleure prise en charge les milieux forestiers. </w:t>
      </w:r>
      <w:r w:rsidR="00217978" w:rsidRPr="009F08C4">
        <w:rPr>
          <w:rFonts w:asciiTheme="majorBidi" w:hAnsiTheme="majorBidi"/>
          <w:i w:val="0"/>
          <w:iCs w:val="0"/>
          <w:color w:val="auto"/>
          <w:sz w:val="24"/>
          <w:szCs w:val="24"/>
        </w:rPr>
        <w:t xml:space="preserve">La présente thèse </w:t>
      </w:r>
      <w:r w:rsidR="00217978" w:rsidRPr="00217978">
        <w:rPr>
          <w:rFonts w:asciiTheme="majorBidi" w:hAnsiTheme="majorBidi"/>
          <w:i w:val="0"/>
          <w:iCs w:val="0"/>
          <w:color w:val="auto"/>
          <w:sz w:val="24"/>
          <w:szCs w:val="24"/>
        </w:rPr>
        <w:t>propose de faire l’accent sur trois points essentiels</w:t>
      </w:r>
      <w:r w:rsidR="00217978">
        <w:rPr>
          <w:rFonts w:asciiTheme="majorBidi" w:hAnsiTheme="majorBidi"/>
          <w:i w:val="0"/>
          <w:iCs w:val="0"/>
          <w:color w:val="auto"/>
          <w:sz w:val="24"/>
          <w:szCs w:val="24"/>
        </w:rPr>
        <w:t xml:space="preserve">: </w:t>
      </w:r>
    </w:p>
    <w:p w:rsidR="005B24E7" w:rsidRPr="00A037B9" w:rsidRDefault="005B24E7" w:rsidP="005B24E7">
      <w:pPr>
        <w:rPr>
          <w:sz w:val="12"/>
          <w:szCs w:val="12"/>
        </w:rPr>
      </w:pPr>
    </w:p>
    <w:p w:rsidR="00D31ADE" w:rsidRDefault="00D31ADE" w:rsidP="005B24E7">
      <w:pPr>
        <w:pStyle w:val="Titre9"/>
        <w:spacing w:before="0"/>
        <w:ind w:firstLine="567"/>
        <w:jc w:val="both"/>
        <w:rPr>
          <w:rFonts w:asciiTheme="majorBidi" w:hAnsiTheme="majorBidi"/>
          <w:i w:val="0"/>
          <w:iCs w:val="0"/>
          <w:color w:val="auto"/>
          <w:sz w:val="24"/>
          <w:szCs w:val="24"/>
        </w:rPr>
      </w:pPr>
      <w:r>
        <w:rPr>
          <w:rFonts w:asciiTheme="majorBidi" w:hAnsiTheme="majorBidi"/>
          <w:i w:val="0"/>
          <w:iCs w:val="0"/>
          <w:color w:val="auto"/>
          <w:sz w:val="24"/>
          <w:szCs w:val="24"/>
        </w:rPr>
        <w:t>Le</w:t>
      </w:r>
      <w:r w:rsidR="00217978" w:rsidRPr="00217978">
        <w:rPr>
          <w:rFonts w:asciiTheme="majorBidi" w:hAnsiTheme="majorBidi"/>
          <w:i w:val="0"/>
          <w:iCs w:val="0"/>
          <w:color w:val="auto"/>
          <w:sz w:val="24"/>
          <w:szCs w:val="24"/>
        </w:rPr>
        <w:t xml:space="preserve"> premier point consiste à étudier, dans la partie centrale de l’Atlas saharien,  l’ensemble des formations dans lesquelles le pin d’Alep </w:t>
      </w:r>
      <w:r w:rsidR="00E57A9A" w:rsidRPr="009F08C4">
        <w:rPr>
          <w:rFonts w:asciiTheme="majorBidi" w:hAnsiTheme="majorBidi"/>
          <w:i w:val="0"/>
          <w:iCs w:val="0"/>
          <w:color w:val="auto"/>
          <w:sz w:val="24"/>
          <w:szCs w:val="24"/>
        </w:rPr>
        <w:t>(</w:t>
      </w:r>
      <w:r w:rsidR="00E57A9A" w:rsidRPr="00DD1675">
        <w:rPr>
          <w:rFonts w:asciiTheme="majorBidi" w:hAnsiTheme="majorBidi"/>
          <w:color w:val="auto"/>
          <w:sz w:val="24"/>
          <w:szCs w:val="24"/>
        </w:rPr>
        <w:t>Pinus halepensis</w:t>
      </w:r>
      <w:r w:rsidR="00E57A9A" w:rsidRPr="009F08C4">
        <w:rPr>
          <w:rFonts w:asciiTheme="majorBidi" w:hAnsiTheme="majorBidi"/>
          <w:i w:val="0"/>
          <w:iCs w:val="0"/>
          <w:color w:val="auto"/>
          <w:sz w:val="24"/>
          <w:szCs w:val="24"/>
        </w:rPr>
        <w:t xml:space="preserve"> Mill.)</w:t>
      </w:r>
      <w:r w:rsidR="00E57A9A">
        <w:rPr>
          <w:rFonts w:asciiTheme="majorBidi" w:hAnsiTheme="majorBidi"/>
          <w:i w:val="0"/>
          <w:iCs w:val="0"/>
          <w:color w:val="auto"/>
          <w:sz w:val="24"/>
          <w:szCs w:val="24"/>
        </w:rPr>
        <w:t xml:space="preserve"> </w:t>
      </w:r>
      <w:r w:rsidR="00217978" w:rsidRPr="00217978">
        <w:rPr>
          <w:rFonts w:asciiTheme="majorBidi" w:hAnsiTheme="majorBidi"/>
          <w:i w:val="0"/>
          <w:iCs w:val="0"/>
          <w:color w:val="auto"/>
          <w:sz w:val="24"/>
          <w:szCs w:val="24"/>
        </w:rPr>
        <w:t>est présent, afin de comprendre la répartition des groupements végétaux et les facteurs qui les régissent, en adoptant une approche synécologique. Ainsi, une évaluation qualitative et quantitative de la diver</w:t>
      </w:r>
      <w:r>
        <w:rPr>
          <w:rFonts w:asciiTheme="majorBidi" w:hAnsiTheme="majorBidi"/>
          <w:i w:val="0"/>
          <w:iCs w:val="0"/>
          <w:color w:val="auto"/>
          <w:sz w:val="24"/>
          <w:szCs w:val="24"/>
        </w:rPr>
        <w:t>sité floristique sera réalisée.</w:t>
      </w:r>
      <w:r w:rsidR="00D16283">
        <w:rPr>
          <w:rFonts w:asciiTheme="majorBidi" w:hAnsiTheme="majorBidi"/>
          <w:i w:val="0"/>
          <w:iCs w:val="0"/>
          <w:color w:val="auto"/>
          <w:sz w:val="24"/>
          <w:szCs w:val="24"/>
        </w:rPr>
        <w:t xml:space="preserve"> </w:t>
      </w:r>
    </w:p>
    <w:p w:rsidR="005B24E7" w:rsidRPr="00A037B9" w:rsidRDefault="005B24E7" w:rsidP="005B24E7">
      <w:pPr>
        <w:rPr>
          <w:sz w:val="12"/>
          <w:szCs w:val="12"/>
        </w:rPr>
      </w:pPr>
    </w:p>
    <w:p w:rsidR="00262711" w:rsidRDefault="00D31ADE" w:rsidP="00FB0437">
      <w:pPr>
        <w:pStyle w:val="Titre9"/>
        <w:spacing w:before="0"/>
        <w:ind w:firstLine="567"/>
        <w:jc w:val="both"/>
        <w:rPr>
          <w:rFonts w:asciiTheme="majorBidi" w:hAnsiTheme="majorBidi"/>
          <w:i w:val="0"/>
          <w:iCs w:val="0"/>
          <w:color w:val="auto"/>
          <w:sz w:val="24"/>
          <w:szCs w:val="24"/>
        </w:rPr>
      </w:pPr>
      <w:r>
        <w:rPr>
          <w:rFonts w:asciiTheme="majorBidi" w:hAnsiTheme="majorBidi"/>
          <w:i w:val="0"/>
          <w:iCs w:val="0"/>
          <w:color w:val="auto"/>
          <w:sz w:val="24"/>
          <w:szCs w:val="24"/>
        </w:rPr>
        <w:t>L</w:t>
      </w:r>
      <w:r w:rsidR="0055217D">
        <w:rPr>
          <w:rFonts w:asciiTheme="majorBidi" w:hAnsiTheme="majorBidi"/>
          <w:i w:val="0"/>
          <w:iCs w:val="0"/>
          <w:color w:val="auto"/>
          <w:sz w:val="24"/>
          <w:szCs w:val="24"/>
        </w:rPr>
        <w:t xml:space="preserve">e deuxième point porte </w:t>
      </w:r>
      <w:r w:rsidR="00217978" w:rsidRPr="00217978">
        <w:rPr>
          <w:rFonts w:asciiTheme="majorBidi" w:hAnsiTheme="majorBidi"/>
          <w:i w:val="0"/>
          <w:iCs w:val="0"/>
          <w:color w:val="auto"/>
          <w:sz w:val="24"/>
          <w:szCs w:val="24"/>
        </w:rPr>
        <w:t xml:space="preserve">sur la caractérisation de </w:t>
      </w:r>
      <w:r w:rsidR="00273065">
        <w:rPr>
          <w:rFonts w:asciiTheme="majorBidi" w:hAnsiTheme="majorBidi"/>
          <w:i w:val="0"/>
          <w:iCs w:val="0"/>
          <w:color w:val="auto"/>
          <w:sz w:val="24"/>
          <w:szCs w:val="24"/>
        </w:rPr>
        <w:t xml:space="preserve">10 </w:t>
      </w:r>
      <w:r w:rsidR="00217978" w:rsidRPr="00217978">
        <w:rPr>
          <w:rFonts w:asciiTheme="majorBidi" w:hAnsiTheme="majorBidi"/>
          <w:i w:val="0"/>
          <w:iCs w:val="0"/>
          <w:color w:val="auto"/>
          <w:sz w:val="24"/>
          <w:szCs w:val="24"/>
        </w:rPr>
        <w:t xml:space="preserve">provenances de pin d’Alep dans l’étage bioclimatique semi-aride (partie centrale et orientale de l’Atlas saharien), en se basant sur la </w:t>
      </w:r>
      <w:r w:rsidR="00FB0437">
        <w:rPr>
          <w:rFonts w:asciiTheme="majorBidi" w:hAnsiTheme="majorBidi"/>
          <w:i w:val="0"/>
          <w:iCs w:val="0"/>
          <w:color w:val="auto"/>
          <w:sz w:val="24"/>
          <w:szCs w:val="24"/>
        </w:rPr>
        <w:t xml:space="preserve">variabilité </w:t>
      </w:r>
      <w:r w:rsidR="00273065" w:rsidRPr="00217978">
        <w:rPr>
          <w:rFonts w:asciiTheme="majorBidi" w:hAnsiTheme="majorBidi"/>
          <w:i w:val="0"/>
          <w:iCs w:val="0"/>
          <w:color w:val="auto"/>
          <w:sz w:val="24"/>
          <w:szCs w:val="24"/>
        </w:rPr>
        <w:t xml:space="preserve">morphologique </w:t>
      </w:r>
      <w:r w:rsidR="00217978" w:rsidRPr="00217978">
        <w:rPr>
          <w:rFonts w:asciiTheme="majorBidi" w:hAnsiTheme="majorBidi"/>
          <w:i w:val="0"/>
          <w:iCs w:val="0"/>
          <w:color w:val="auto"/>
          <w:sz w:val="24"/>
          <w:szCs w:val="24"/>
        </w:rPr>
        <w:t xml:space="preserve">des aiguilles, des cônes et des graines, et sur la variabilité chimique des huiles essentielles des aguilles, en vue de sélectionner les provenances les plus </w:t>
      </w:r>
      <w:r w:rsidR="008070D0">
        <w:rPr>
          <w:rFonts w:asciiTheme="majorBidi" w:hAnsiTheme="majorBidi"/>
          <w:i w:val="0"/>
          <w:iCs w:val="0"/>
          <w:color w:val="auto"/>
          <w:sz w:val="24"/>
          <w:szCs w:val="24"/>
        </w:rPr>
        <w:t xml:space="preserve">vigoureuses </w:t>
      </w:r>
      <w:r w:rsidR="00217978" w:rsidRPr="00217978">
        <w:rPr>
          <w:rFonts w:asciiTheme="majorBidi" w:hAnsiTheme="majorBidi"/>
          <w:i w:val="0"/>
          <w:iCs w:val="0"/>
          <w:color w:val="auto"/>
          <w:sz w:val="24"/>
          <w:szCs w:val="24"/>
        </w:rPr>
        <w:t>sur la base d’une sélection multi-caractè</w:t>
      </w:r>
      <w:r w:rsidR="00262711">
        <w:rPr>
          <w:rFonts w:asciiTheme="majorBidi" w:hAnsiTheme="majorBidi"/>
          <w:i w:val="0"/>
          <w:iCs w:val="0"/>
          <w:color w:val="auto"/>
          <w:sz w:val="24"/>
          <w:szCs w:val="24"/>
        </w:rPr>
        <w:t>res (morphologique et chimique).</w:t>
      </w:r>
    </w:p>
    <w:p w:rsidR="005B24E7" w:rsidRPr="00A037B9" w:rsidRDefault="005B24E7" w:rsidP="005B24E7">
      <w:pPr>
        <w:rPr>
          <w:sz w:val="12"/>
          <w:szCs w:val="12"/>
        </w:rPr>
      </w:pPr>
    </w:p>
    <w:p w:rsidR="00E57A9A" w:rsidRDefault="00D16283" w:rsidP="005B24E7">
      <w:pPr>
        <w:pStyle w:val="Titre9"/>
        <w:spacing w:before="0"/>
        <w:ind w:firstLine="567"/>
        <w:jc w:val="both"/>
        <w:rPr>
          <w:rFonts w:asciiTheme="majorBidi" w:hAnsiTheme="majorBidi"/>
          <w:i w:val="0"/>
          <w:iCs w:val="0"/>
          <w:color w:val="auto"/>
          <w:sz w:val="24"/>
          <w:szCs w:val="24"/>
        </w:rPr>
      </w:pPr>
      <w:r w:rsidRPr="00D16283">
        <w:t xml:space="preserve"> </w:t>
      </w:r>
      <w:r w:rsidR="00262711">
        <w:rPr>
          <w:rFonts w:asciiTheme="majorBidi" w:hAnsiTheme="majorBidi"/>
          <w:i w:val="0"/>
          <w:iCs w:val="0"/>
          <w:color w:val="auto"/>
          <w:sz w:val="24"/>
          <w:szCs w:val="24"/>
        </w:rPr>
        <w:t>Le</w:t>
      </w:r>
      <w:r w:rsidRPr="00D16283">
        <w:rPr>
          <w:rFonts w:asciiTheme="majorBidi" w:hAnsiTheme="majorBidi"/>
          <w:i w:val="0"/>
          <w:iCs w:val="0"/>
          <w:color w:val="auto"/>
          <w:sz w:val="24"/>
          <w:szCs w:val="24"/>
        </w:rPr>
        <w:t xml:space="preserve"> troisième point a été consacré à l’étude phénologique de pin d’Alep afin de contribuer à la </w:t>
      </w:r>
      <w:r w:rsidR="00FB0437">
        <w:rPr>
          <w:rFonts w:asciiTheme="majorBidi" w:hAnsiTheme="majorBidi"/>
          <w:i w:val="0"/>
          <w:iCs w:val="0"/>
          <w:color w:val="auto"/>
          <w:sz w:val="24"/>
          <w:szCs w:val="24"/>
        </w:rPr>
        <w:t>re</w:t>
      </w:r>
      <w:r w:rsidRPr="00D16283">
        <w:rPr>
          <w:rFonts w:asciiTheme="majorBidi" w:hAnsiTheme="majorBidi"/>
          <w:i w:val="0"/>
          <w:iCs w:val="0"/>
          <w:color w:val="auto"/>
          <w:sz w:val="24"/>
          <w:szCs w:val="24"/>
        </w:rPr>
        <w:t>connaissance de son autoécologie.</w:t>
      </w:r>
    </w:p>
    <w:p w:rsidR="005B24E7" w:rsidRPr="00A037B9" w:rsidRDefault="005B24E7" w:rsidP="005B24E7">
      <w:pPr>
        <w:rPr>
          <w:sz w:val="12"/>
          <w:szCs w:val="12"/>
        </w:rPr>
      </w:pPr>
    </w:p>
    <w:p w:rsidR="00D573FA" w:rsidRDefault="00D573FA" w:rsidP="00DE45C0">
      <w:pPr>
        <w:pStyle w:val="Titre9"/>
        <w:spacing w:before="0"/>
        <w:ind w:firstLine="567"/>
        <w:jc w:val="both"/>
        <w:rPr>
          <w:rFonts w:asciiTheme="majorBidi" w:hAnsiTheme="majorBidi"/>
          <w:i w:val="0"/>
          <w:iCs w:val="0"/>
          <w:color w:val="auto"/>
          <w:sz w:val="24"/>
          <w:szCs w:val="24"/>
        </w:rPr>
      </w:pPr>
      <w:r w:rsidRPr="00472C6A">
        <w:rPr>
          <w:rFonts w:asciiTheme="majorBidi" w:hAnsiTheme="majorBidi"/>
          <w:i w:val="0"/>
          <w:iCs w:val="0"/>
          <w:color w:val="auto"/>
          <w:sz w:val="24"/>
          <w:szCs w:val="24"/>
        </w:rPr>
        <w:t xml:space="preserve">L’analyse de la diversité végétale au sein des formations à pin d’Alep, à travers l’échantillonnage subjectif et le traitement numérique par l’AFC et la CHA, réalisés sur 100 relevés et 180 espèces, </w:t>
      </w:r>
      <w:r w:rsidR="005B24E7">
        <w:rPr>
          <w:rFonts w:asciiTheme="majorBidi" w:hAnsiTheme="majorBidi"/>
          <w:i w:val="0"/>
          <w:iCs w:val="0"/>
          <w:color w:val="auto"/>
          <w:sz w:val="24"/>
          <w:szCs w:val="24"/>
        </w:rPr>
        <w:t>a</w:t>
      </w:r>
      <w:r w:rsidRPr="00472C6A">
        <w:rPr>
          <w:rFonts w:asciiTheme="majorBidi" w:hAnsiTheme="majorBidi"/>
          <w:i w:val="0"/>
          <w:iCs w:val="0"/>
          <w:color w:val="auto"/>
          <w:sz w:val="24"/>
          <w:szCs w:val="24"/>
        </w:rPr>
        <w:t xml:space="preserve"> permis de mettre en évidence 3 groupements végétaux. Cette analyse a fait également ressortir que </w:t>
      </w:r>
      <w:r w:rsidR="003D6760">
        <w:rPr>
          <w:rFonts w:asciiTheme="majorBidi" w:hAnsiTheme="majorBidi"/>
          <w:i w:val="0"/>
          <w:iCs w:val="0"/>
          <w:color w:val="auto"/>
          <w:sz w:val="24"/>
          <w:szCs w:val="24"/>
        </w:rPr>
        <w:t>les facteurs</w:t>
      </w:r>
      <w:r w:rsidR="00491644" w:rsidRPr="00472C6A">
        <w:rPr>
          <w:rFonts w:asciiTheme="majorBidi" w:hAnsiTheme="majorBidi"/>
          <w:i w:val="0"/>
          <w:iCs w:val="0"/>
          <w:color w:val="auto"/>
          <w:sz w:val="24"/>
          <w:szCs w:val="24"/>
        </w:rPr>
        <w:t xml:space="preserve"> </w:t>
      </w:r>
      <w:r w:rsidR="00491644">
        <w:rPr>
          <w:rFonts w:asciiTheme="majorBidi" w:hAnsiTheme="majorBidi"/>
          <w:i w:val="0"/>
          <w:iCs w:val="0"/>
          <w:color w:val="auto"/>
          <w:sz w:val="24"/>
          <w:szCs w:val="24"/>
        </w:rPr>
        <w:t xml:space="preserve">de </w:t>
      </w:r>
      <w:r w:rsidR="00491644" w:rsidRPr="00472C6A">
        <w:rPr>
          <w:rFonts w:asciiTheme="majorBidi" w:hAnsiTheme="majorBidi"/>
          <w:i w:val="0"/>
          <w:iCs w:val="0"/>
          <w:color w:val="auto"/>
          <w:sz w:val="24"/>
          <w:szCs w:val="24"/>
        </w:rPr>
        <w:t xml:space="preserve">sol </w:t>
      </w:r>
      <w:r w:rsidR="00491644">
        <w:rPr>
          <w:rFonts w:asciiTheme="majorBidi" w:hAnsiTheme="majorBidi"/>
          <w:i w:val="0"/>
          <w:iCs w:val="0"/>
          <w:color w:val="auto"/>
          <w:sz w:val="24"/>
          <w:szCs w:val="24"/>
        </w:rPr>
        <w:t xml:space="preserve">et </w:t>
      </w:r>
      <w:r w:rsidRPr="00472C6A">
        <w:rPr>
          <w:rFonts w:asciiTheme="majorBidi" w:hAnsiTheme="majorBidi"/>
          <w:i w:val="0"/>
          <w:iCs w:val="0"/>
          <w:color w:val="auto"/>
          <w:sz w:val="24"/>
          <w:szCs w:val="24"/>
        </w:rPr>
        <w:t xml:space="preserve">l’intensité anthropique </w:t>
      </w:r>
      <w:r w:rsidR="00DE45C0">
        <w:rPr>
          <w:rFonts w:asciiTheme="majorBidi" w:hAnsiTheme="majorBidi"/>
          <w:i w:val="0"/>
          <w:iCs w:val="0"/>
          <w:color w:val="auto"/>
          <w:sz w:val="24"/>
          <w:szCs w:val="24"/>
        </w:rPr>
        <w:t>sont</w:t>
      </w:r>
      <w:r w:rsidRPr="00472C6A">
        <w:rPr>
          <w:rFonts w:asciiTheme="majorBidi" w:hAnsiTheme="majorBidi"/>
          <w:i w:val="0"/>
          <w:iCs w:val="0"/>
          <w:color w:val="auto"/>
          <w:sz w:val="24"/>
          <w:szCs w:val="24"/>
        </w:rPr>
        <w:t xml:space="preserve"> responsables de la composition et de la répartition de la végétation dans les paysages forestiers de nos stations d’étude.</w:t>
      </w:r>
    </w:p>
    <w:p w:rsidR="005B24E7" w:rsidRPr="00A037B9" w:rsidRDefault="005B24E7" w:rsidP="005B24E7">
      <w:pPr>
        <w:rPr>
          <w:sz w:val="12"/>
          <w:szCs w:val="12"/>
        </w:rPr>
      </w:pPr>
    </w:p>
    <w:p w:rsidR="00FC0F0F" w:rsidRDefault="009D1C94" w:rsidP="00FC0F0F">
      <w:pPr>
        <w:pStyle w:val="Titre9"/>
        <w:spacing w:before="0"/>
        <w:ind w:firstLine="567"/>
        <w:jc w:val="both"/>
        <w:rPr>
          <w:rFonts w:asciiTheme="majorBidi" w:hAnsiTheme="majorBidi"/>
          <w:i w:val="0"/>
          <w:iCs w:val="0"/>
          <w:color w:val="auto"/>
          <w:sz w:val="24"/>
          <w:szCs w:val="24"/>
        </w:rPr>
      </w:pPr>
      <w:r w:rsidRPr="009D1C94">
        <w:rPr>
          <w:rFonts w:asciiTheme="majorBidi" w:hAnsiTheme="majorBidi"/>
          <w:i w:val="0"/>
          <w:iCs w:val="0"/>
          <w:color w:val="auto"/>
          <w:sz w:val="24"/>
          <w:szCs w:val="24"/>
        </w:rPr>
        <w:t xml:space="preserve">Les résultats de caractérisation morphologique révèlent une variabilité morphologique intra-spécifique remarquable de pin d’Alep. </w:t>
      </w:r>
      <w:r w:rsidR="00222136">
        <w:rPr>
          <w:rFonts w:asciiTheme="majorBidi" w:hAnsiTheme="majorBidi"/>
          <w:i w:val="0"/>
          <w:iCs w:val="0"/>
          <w:color w:val="auto"/>
          <w:sz w:val="24"/>
          <w:szCs w:val="24"/>
        </w:rPr>
        <w:t xml:space="preserve"> En outre, </w:t>
      </w:r>
      <w:r w:rsidR="00CC12B0">
        <w:rPr>
          <w:rFonts w:asciiTheme="majorBidi" w:hAnsiTheme="majorBidi"/>
          <w:i w:val="0"/>
          <w:iCs w:val="0"/>
          <w:color w:val="auto"/>
          <w:sz w:val="24"/>
          <w:szCs w:val="24"/>
        </w:rPr>
        <w:t>l</w:t>
      </w:r>
      <w:r w:rsidR="005D038C">
        <w:rPr>
          <w:rFonts w:asciiTheme="majorBidi" w:hAnsiTheme="majorBidi"/>
          <w:i w:val="0"/>
          <w:iCs w:val="0"/>
          <w:color w:val="auto"/>
          <w:sz w:val="24"/>
          <w:szCs w:val="24"/>
        </w:rPr>
        <w:t>a</w:t>
      </w:r>
      <w:r w:rsidR="005D038C" w:rsidRPr="005D038C">
        <w:t xml:space="preserve"> </w:t>
      </w:r>
      <w:r w:rsidR="005D038C" w:rsidRPr="005D038C">
        <w:rPr>
          <w:rFonts w:asciiTheme="majorBidi" w:hAnsiTheme="majorBidi"/>
          <w:i w:val="0"/>
          <w:iCs w:val="0"/>
          <w:color w:val="auto"/>
          <w:sz w:val="24"/>
          <w:szCs w:val="24"/>
        </w:rPr>
        <w:t>caractérisation</w:t>
      </w:r>
      <w:r w:rsidR="00CC12B0" w:rsidRPr="009F08C4">
        <w:rPr>
          <w:rFonts w:asciiTheme="majorBidi" w:hAnsiTheme="majorBidi"/>
          <w:i w:val="0"/>
          <w:iCs w:val="0"/>
          <w:color w:val="auto"/>
          <w:sz w:val="24"/>
          <w:szCs w:val="24"/>
        </w:rPr>
        <w:t xml:space="preserve"> chimique </w:t>
      </w:r>
      <w:r w:rsidR="00222136">
        <w:rPr>
          <w:rFonts w:asciiTheme="majorBidi" w:hAnsiTheme="majorBidi"/>
          <w:i w:val="0"/>
          <w:iCs w:val="0"/>
          <w:color w:val="auto"/>
          <w:sz w:val="24"/>
          <w:szCs w:val="24"/>
        </w:rPr>
        <w:t xml:space="preserve">montre </w:t>
      </w:r>
      <w:r w:rsidR="008767B8">
        <w:rPr>
          <w:rFonts w:asciiTheme="majorBidi" w:hAnsiTheme="majorBidi"/>
          <w:i w:val="0"/>
          <w:iCs w:val="0"/>
          <w:color w:val="auto"/>
          <w:sz w:val="24"/>
          <w:szCs w:val="24"/>
        </w:rPr>
        <w:t>que les provenances so</w:t>
      </w:r>
      <w:r w:rsidR="00891DA4" w:rsidRPr="00891DA4">
        <w:rPr>
          <w:rFonts w:asciiTheme="majorBidi" w:hAnsiTheme="majorBidi"/>
          <w:i w:val="0"/>
          <w:iCs w:val="0"/>
          <w:color w:val="auto"/>
          <w:sz w:val="24"/>
          <w:szCs w:val="24"/>
        </w:rPr>
        <w:t>nt caractérisées qualitativement et semi-quantitativement par des compositions chimiques différentes, dans lesquelles trois chemotypes ont été identifiés: oxyde de caryophyllene-type (10.5</w:t>
      </w:r>
      <w:r w:rsidR="00CC12B0">
        <w:rPr>
          <w:rFonts w:asciiTheme="majorBidi" w:hAnsiTheme="majorBidi"/>
          <w:i w:val="0"/>
          <w:iCs w:val="0"/>
          <w:color w:val="auto"/>
          <w:sz w:val="24"/>
          <w:szCs w:val="24"/>
        </w:rPr>
        <w:t>-</w:t>
      </w:r>
      <w:r w:rsidR="00891DA4" w:rsidRPr="00891DA4">
        <w:rPr>
          <w:rFonts w:asciiTheme="majorBidi" w:hAnsiTheme="majorBidi"/>
          <w:i w:val="0"/>
          <w:iCs w:val="0"/>
          <w:color w:val="auto"/>
          <w:sz w:val="24"/>
          <w:szCs w:val="24"/>
        </w:rPr>
        <w:t>12.5%; S1</w:t>
      </w:r>
      <w:r w:rsidR="00CC12B0">
        <w:rPr>
          <w:rFonts w:asciiTheme="majorBidi" w:hAnsiTheme="majorBidi"/>
          <w:i w:val="0"/>
          <w:iCs w:val="0"/>
          <w:color w:val="auto"/>
          <w:sz w:val="24"/>
          <w:szCs w:val="24"/>
        </w:rPr>
        <w:t>-</w:t>
      </w:r>
      <w:r w:rsidR="00891DA4" w:rsidRPr="00891DA4">
        <w:rPr>
          <w:rFonts w:asciiTheme="majorBidi" w:hAnsiTheme="majorBidi"/>
          <w:i w:val="0"/>
          <w:iCs w:val="0"/>
          <w:color w:val="auto"/>
          <w:sz w:val="24"/>
          <w:szCs w:val="24"/>
        </w:rPr>
        <w:t xml:space="preserve">S5), </w:t>
      </w:r>
      <w:r w:rsidR="00891DA4" w:rsidRPr="00222136">
        <w:rPr>
          <w:rFonts w:asciiTheme="majorBidi" w:hAnsiTheme="majorBidi"/>
          <w:color w:val="auto"/>
          <w:sz w:val="24"/>
          <w:szCs w:val="24"/>
        </w:rPr>
        <w:t>p-</w:t>
      </w:r>
      <w:r w:rsidR="00891DA4" w:rsidRPr="00891DA4">
        <w:rPr>
          <w:rFonts w:asciiTheme="majorBidi" w:hAnsiTheme="majorBidi"/>
          <w:i w:val="0"/>
          <w:iCs w:val="0"/>
          <w:color w:val="auto"/>
          <w:sz w:val="24"/>
          <w:szCs w:val="24"/>
        </w:rPr>
        <w:t>cymène-type (13.7</w:t>
      </w:r>
      <w:r w:rsidR="00CC12B0">
        <w:rPr>
          <w:rFonts w:asciiTheme="majorBidi" w:hAnsiTheme="majorBidi"/>
          <w:i w:val="0"/>
          <w:iCs w:val="0"/>
          <w:color w:val="auto"/>
          <w:sz w:val="24"/>
          <w:szCs w:val="24"/>
        </w:rPr>
        <w:t>-</w:t>
      </w:r>
      <w:r w:rsidR="00891DA4" w:rsidRPr="00891DA4">
        <w:rPr>
          <w:rFonts w:asciiTheme="majorBidi" w:hAnsiTheme="majorBidi"/>
          <w:i w:val="0"/>
          <w:iCs w:val="0"/>
          <w:color w:val="auto"/>
          <w:sz w:val="24"/>
          <w:szCs w:val="24"/>
        </w:rPr>
        <w:t xml:space="preserve">14.6%; S6, S7) et </w:t>
      </w:r>
      <w:r w:rsidR="00891DA4" w:rsidRPr="00222136">
        <w:rPr>
          <w:rFonts w:asciiTheme="majorBidi" w:hAnsiTheme="majorBidi"/>
          <w:color w:val="auto"/>
          <w:sz w:val="24"/>
          <w:szCs w:val="24"/>
        </w:rPr>
        <w:t>α-</w:t>
      </w:r>
      <w:r w:rsidR="00891DA4" w:rsidRPr="00891DA4">
        <w:rPr>
          <w:rFonts w:asciiTheme="majorBidi" w:hAnsiTheme="majorBidi"/>
          <w:i w:val="0"/>
          <w:iCs w:val="0"/>
          <w:color w:val="auto"/>
          <w:sz w:val="24"/>
          <w:szCs w:val="24"/>
        </w:rPr>
        <w:t>pinène-type (17.2</w:t>
      </w:r>
      <w:r w:rsidR="00CC12B0">
        <w:rPr>
          <w:rFonts w:asciiTheme="majorBidi" w:hAnsiTheme="majorBidi"/>
          <w:i w:val="0"/>
          <w:iCs w:val="0"/>
          <w:color w:val="auto"/>
          <w:sz w:val="24"/>
          <w:szCs w:val="24"/>
        </w:rPr>
        <w:t>-</w:t>
      </w:r>
      <w:r w:rsidR="00891DA4" w:rsidRPr="00891DA4">
        <w:rPr>
          <w:rFonts w:asciiTheme="majorBidi" w:hAnsiTheme="majorBidi"/>
          <w:i w:val="0"/>
          <w:iCs w:val="0"/>
          <w:color w:val="auto"/>
          <w:sz w:val="24"/>
          <w:szCs w:val="24"/>
        </w:rPr>
        <w:t>22.3%; S8</w:t>
      </w:r>
      <w:r w:rsidR="00CC12B0">
        <w:rPr>
          <w:rFonts w:asciiTheme="majorBidi" w:hAnsiTheme="majorBidi"/>
          <w:i w:val="0"/>
          <w:iCs w:val="0"/>
          <w:color w:val="auto"/>
          <w:sz w:val="24"/>
          <w:szCs w:val="24"/>
        </w:rPr>
        <w:t>-</w:t>
      </w:r>
      <w:r w:rsidR="00891DA4" w:rsidRPr="00891DA4">
        <w:rPr>
          <w:rFonts w:asciiTheme="majorBidi" w:hAnsiTheme="majorBidi"/>
          <w:i w:val="0"/>
          <w:iCs w:val="0"/>
          <w:color w:val="auto"/>
          <w:sz w:val="24"/>
          <w:szCs w:val="24"/>
        </w:rPr>
        <w:t>S10)</w:t>
      </w:r>
      <w:r w:rsidR="00741655">
        <w:rPr>
          <w:rFonts w:asciiTheme="majorBidi" w:hAnsiTheme="majorBidi"/>
          <w:i w:val="0"/>
          <w:iCs w:val="0"/>
          <w:color w:val="auto"/>
          <w:sz w:val="24"/>
          <w:szCs w:val="24"/>
        </w:rPr>
        <w:t xml:space="preserve">. </w:t>
      </w:r>
      <w:r w:rsidR="001650E1">
        <w:rPr>
          <w:rFonts w:asciiTheme="majorBidi" w:hAnsiTheme="majorBidi"/>
          <w:i w:val="0"/>
          <w:iCs w:val="0"/>
          <w:color w:val="auto"/>
          <w:sz w:val="24"/>
          <w:szCs w:val="24"/>
        </w:rPr>
        <w:t xml:space="preserve">L’analyse canonique des correspondances montre </w:t>
      </w:r>
      <w:r w:rsidR="005D038C">
        <w:rPr>
          <w:rFonts w:asciiTheme="majorBidi" w:hAnsiTheme="majorBidi"/>
          <w:i w:val="0"/>
          <w:iCs w:val="0"/>
          <w:color w:val="auto"/>
          <w:sz w:val="24"/>
          <w:szCs w:val="24"/>
        </w:rPr>
        <w:t xml:space="preserve">que </w:t>
      </w:r>
      <w:r w:rsidR="00741655">
        <w:rPr>
          <w:rFonts w:asciiTheme="majorBidi" w:hAnsiTheme="majorBidi"/>
          <w:i w:val="0"/>
          <w:iCs w:val="0"/>
          <w:color w:val="auto"/>
          <w:sz w:val="24"/>
          <w:szCs w:val="24"/>
        </w:rPr>
        <w:t xml:space="preserve">cette variabilité chimique </w:t>
      </w:r>
      <w:r w:rsidR="00DE45C0">
        <w:rPr>
          <w:rFonts w:asciiTheme="majorBidi" w:hAnsiTheme="majorBidi"/>
          <w:i w:val="0"/>
          <w:iCs w:val="0"/>
          <w:color w:val="auto"/>
          <w:sz w:val="24"/>
          <w:szCs w:val="24"/>
        </w:rPr>
        <w:t>est</w:t>
      </w:r>
      <w:r w:rsidR="00741655">
        <w:rPr>
          <w:rFonts w:asciiTheme="majorBidi" w:hAnsiTheme="majorBidi"/>
          <w:i w:val="0"/>
          <w:iCs w:val="0"/>
          <w:color w:val="auto"/>
          <w:sz w:val="24"/>
          <w:szCs w:val="24"/>
        </w:rPr>
        <w:t xml:space="preserve"> étroitement liée</w:t>
      </w:r>
      <w:r w:rsidR="00741655" w:rsidRPr="009F08C4">
        <w:rPr>
          <w:rFonts w:asciiTheme="majorBidi" w:hAnsiTheme="majorBidi"/>
          <w:i w:val="0"/>
          <w:iCs w:val="0"/>
          <w:color w:val="auto"/>
          <w:sz w:val="24"/>
          <w:szCs w:val="24"/>
        </w:rPr>
        <w:t xml:space="preserve"> à la différen</w:t>
      </w:r>
      <w:r w:rsidR="001650E1">
        <w:rPr>
          <w:rFonts w:asciiTheme="majorBidi" w:hAnsiTheme="majorBidi"/>
          <w:i w:val="0"/>
          <w:iCs w:val="0"/>
          <w:color w:val="auto"/>
          <w:sz w:val="24"/>
          <w:szCs w:val="24"/>
        </w:rPr>
        <w:t>ce</w:t>
      </w:r>
      <w:r w:rsidR="00741655" w:rsidRPr="009F08C4">
        <w:rPr>
          <w:rFonts w:asciiTheme="majorBidi" w:hAnsiTheme="majorBidi"/>
          <w:i w:val="0"/>
          <w:iCs w:val="0"/>
          <w:color w:val="auto"/>
          <w:sz w:val="24"/>
          <w:szCs w:val="24"/>
        </w:rPr>
        <w:t xml:space="preserve"> géogra</w:t>
      </w:r>
      <w:r w:rsidR="00741655">
        <w:rPr>
          <w:rFonts w:asciiTheme="majorBidi" w:hAnsiTheme="majorBidi"/>
          <w:i w:val="0"/>
          <w:iCs w:val="0"/>
          <w:color w:val="auto"/>
          <w:sz w:val="24"/>
          <w:szCs w:val="24"/>
        </w:rPr>
        <w:t>phique des provenances étudiées</w:t>
      </w:r>
      <w:r w:rsidR="00741655" w:rsidRPr="009F08C4">
        <w:rPr>
          <w:rFonts w:asciiTheme="majorBidi" w:hAnsiTheme="majorBidi"/>
          <w:i w:val="0"/>
          <w:iCs w:val="0"/>
          <w:color w:val="auto"/>
          <w:sz w:val="24"/>
          <w:szCs w:val="24"/>
        </w:rPr>
        <w:t xml:space="preserve"> </w:t>
      </w:r>
      <w:r w:rsidR="00741655">
        <w:rPr>
          <w:rFonts w:asciiTheme="majorBidi" w:hAnsiTheme="majorBidi"/>
          <w:i w:val="0"/>
          <w:iCs w:val="0"/>
          <w:color w:val="auto"/>
          <w:sz w:val="24"/>
          <w:szCs w:val="24"/>
        </w:rPr>
        <w:t xml:space="preserve">et </w:t>
      </w:r>
      <w:r w:rsidR="00741655" w:rsidRPr="009F08C4">
        <w:rPr>
          <w:rFonts w:asciiTheme="majorBidi" w:hAnsiTheme="majorBidi"/>
          <w:i w:val="0"/>
          <w:iCs w:val="0"/>
          <w:color w:val="auto"/>
          <w:sz w:val="24"/>
          <w:szCs w:val="24"/>
        </w:rPr>
        <w:t>les conditions cl</w:t>
      </w:r>
      <w:r w:rsidR="00741655">
        <w:rPr>
          <w:rFonts w:asciiTheme="majorBidi" w:hAnsiTheme="majorBidi"/>
          <w:i w:val="0"/>
          <w:iCs w:val="0"/>
          <w:color w:val="auto"/>
          <w:sz w:val="24"/>
          <w:szCs w:val="24"/>
        </w:rPr>
        <w:t>imatiques</w:t>
      </w:r>
      <w:r w:rsidR="00741655" w:rsidRPr="009F08C4">
        <w:rPr>
          <w:rFonts w:asciiTheme="majorBidi" w:hAnsiTheme="majorBidi"/>
          <w:i w:val="0"/>
          <w:iCs w:val="0"/>
          <w:color w:val="auto"/>
          <w:sz w:val="24"/>
          <w:szCs w:val="24"/>
        </w:rPr>
        <w:t>.</w:t>
      </w:r>
      <w:r w:rsidR="00FC0F0F">
        <w:rPr>
          <w:rFonts w:asciiTheme="majorBidi" w:hAnsiTheme="majorBidi"/>
          <w:i w:val="0"/>
          <w:iCs w:val="0"/>
          <w:color w:val="auto"/>
          <w:sz w:val="24"/>
          <w:szCs w:val="24"/>
        </w:rPr>
        <w:t xml:space="preserve"> </w:t>
      </w:r>
    </w:p>
    <w:p w:rsidR="00FC0F0F" w:rsidRPr="00A037B9" w:rsidRDefault="00FC0F0F" w:rsidP="00FC0F0F">
      <w:pPr>
        <w:rPr>
          <w:sz w:val="12"/>
          <w:szCs w:val="12"/>
        </w:rPr>
      </w:pPr>
    </w:p>
    <w:p w:rsidR="00441C3A" w:rsidRDefault="00792BA4" w:rsidP="00441C3A">
      <w:pPr>
        <w:pStyle w:val="Titre9"/>
        <w:spacing w:before="0"/>
        <w:ind w:firstLine="567"/>
        <w:jc w:val="both"/>
        <w:rPr>
          <w:rFonts w:asciiTheme="majorBidi" w:hAnsiTheme="majorBidi"/>
          <w:i w:val="0"/>
          <w:iCs w:val="0"/>
          <w:color w:val="auto"/>
          <w:sz w:val="24"/>
          <w:szCs w:val="24"/>
        </w:rPr>
      </w:pPr>
      <w:r w:rsidRPr="00FC0F0F">
        <w:rPr>
          <w:rFonts w:asciiTheme="majorBidi" w:hAnsiTheme="majorBidi"/>
          <w:i w:val="0"/>
          <w:iCs w:val="0"/>
          <w:color w:val="auto"/>
          <w:sz w:val="24"/>
          <w:szCs w:val="24"/>
        </w:rPr>
        <w:t xml:space="preserve">Les observations </w:t>
      </w:r>
      <w:r w:rsidR="0079560A" w:rsidRPr="00FC0F0F">
        <w:rPr>
          <w:rFonts w:asciiTheme="majorBidi" w:hAnsiTheme="majorBidi"/>
          <w:i w:val="0"/>
          <w:iCs w:val="0"/>
          <w:color w:val="auto"/>
          <w:sz w:val="24"/>
          <w:szCs w:val="24"/>
        </w:rPr>
        <w:t xml:space="preserve"> phénologique</w:t>
      </w:r>
      <w:r w:rsidRPr="00FC0F0F">
        <w:rPr>
          <w:rFonts w:asciiTheme="majorBidi" w:hAnsiTheme="majorBidi"/>
          <w:i w:val="0"/>
          <w:iCs w:val="0"/>
          <w:color w:val="auto"/>
          <w:sz w:val="24"/>
          <w:szCs w:val="24"/>
        </w:rPr>
        <w:t>s,</w:t>
      </w:r>
      <w:r w:rsidR="0079560A" w:rsidRPr="00FC0F0F">
        <w:rPr>
          <w:rFonts w:asciiTheme="majorBidi" w:hAnsiTheme="majorBidi"/>
          <w:i w:val="0"/>
          <w:iCs w:val="0"/>
          <w:color w:val="auto"/>
          <w:sz w:val="24"/>
          <w:szCs w:val="24"/>
        </w:rPr>
        <w:t xml:space="preserve"> </w:t>
      </w:r>
      <w:r w:rsidRPr="00FC0F0F">
        <w:rPr>
          <w:rFonts w:asciiTheme="majorBidi" w:hAnsiTheme="majorBidi"/>
          <w:i w:val="0"/>
          <w:iCs w:val="0"/>
          <w:color w:val="auto"/>
          <w:sz w:val="24"/>
          <w:szCs w:val="24"/>
        </w:rPr>
        <w:t>réalisées dans le même pour</w:t>
      </w:r>
      <w:r w:rsidRPr="00FC0F0F">
        <w:rPr>
          <w:rFonts w:asciiTheme="majorBidi" w:hAnsiTheme="majorBidi"/>
          <w:i w:val="0"/>
          <w:iCs w:val="0"/>
          <w:color w:val="auto"/>
          <w:sz w:val="24"/>
          <w:szCs w:val="24"/>
        </w:rPr>
        <w:t xml:space="preserve"> la station</w:t>
      </w:r>
      <w:r w:rsidR="00FC0F0F">
        <w:rPr>
          <w:rFonts w:asciiTheme="majorBidi" w:hAnsiTheme="majorBidi"/>
          <w:i w:val="0"/>
          <w:iCs w:val="0"/>
          <w:color w:val="auto"/>
          <w:sz w:val="24"/>
          <w:szCs w:val="24"/>
        </w:rPr>
        <w:t xml:space="preserve"> de </w:t>
      </w:r>
      <w:r w:rsidRPr="00FC0F0F">
        <w:rPr>
          <w:rFonts w:asciiTheme="majorBidi" w:hAnsiTheme="majorBidi"/>
          <w:i w:val="0"/>
          <w:iCs w:val="0"/>
          <w:color w:val="auto"/>
          <w:sz w:val="24"/>
          <w:szCs w:val="24"/>
        </w:rPr>
        <w:t>Djellal Chergui</w:t>
      </w:r>
      <w:r w:rsidRPr="00FC0F0F">
        <w:rPr>
          <w:rFonts w:asciiTheme="majorBidi" w:hAnsiTheme="majorBidi"/>
          <w:i w:val="0"/>
          <w:iCs w:val="0"/>
          <w:color w:val="auto"/>
          <w:sz w:val="24"/>
          <w:szCs w:val="24"/>
        </w:rPr>
        <w:t xml:space="preserve"> et</w:t>
      </w:r>
      <w:r w:rsidR="00FC0F0F">
        <w:rPr>
          <w:rFonts w:asciiTheme="majorBidi" w:hAnsiTheme="majorBidi"/>
          <w:i w:val="0"/>
          <w:iCs w:val="0"/>
          <w:color w:val="auto"/>
          <w:sz w:val="24"/>
          <w:szCs w:val="24"/>
        </w:rPr>
        <w:t xml:space="preserve"> </w:t>
      </w:r>
      <w:r w:rsidRPr="00FC0F0F">
        <w:rPr>
          <w:rFonts w:asciiTheme="majorBidi" w:hAnsiTheme="majorBidi"/>
          <w:i w:val="0"/>
          <w:iCs w:val="0"/>
          <w:color w:val="auto"/>
          <w:sz w:val="24"/>
          <w:szCs w:val="24"/>
        </w:rPr>
        <w:t xml:space="preserve">celle de </w:t>
      </w:r>
      <w:r w:rsidR="00176293" w:rsidRPr="00FC0F0F">
        <w:rPr>
          <w:rFonts w:asciiTheme="majorBidi" w:hAnsiTheme="majorBidi"/>
          <w:i w:val="0"/>
          <w:iCs w:val="0"/>
          <w:color w:val="auto"/>
          <w:sz w:val="24"/>
          <w:szCs w:val="24"/>
        </w:rPr>
        <w:t>Mezreb El Ali</w:t>
      </w:r>
      <w:r w:rsidR="00176293" w:rsidRPr="00FC0F0F">
        <w:rPr>
          <w:rFonts w:asciiTheme="majorBidi" w:hAnsiTheme="majorBidi"/>
          <w:i w:val="0"/>
          <w:iCs w:val="0"/>
          <w:color w:val="auto"/>
          <w:sz w:val="24"/>
          <w:szCs w:val="24"/>
        </w:rPr>
        <w:t xml:space="preserve">, </w:t>
      </w:r>
      <w:r w:rsidRPr="00FC0F0F">
        <w:rPr>
          <w:rFonts w:asciiTheme="majorBidi" w:hAnsiTheme="majorBidi"/>
          <w:i w:val="0"/>
          <w:iCs w:val="0"/>
          <w:color w:val="auto"/>
          <w:sz w:val="24"/>
          <w:szCs w:val="24"/>
        </w:rPr>
        <w:t xml:space="preserve">montrent que le développement de chaque stade pour l’élongation des pousses </w:t>
      </w:r>
      <w:r w:rsidR="00176293" w:rsidRPr="00FC0F0F">
        <w:rPr>
          <w:rFonts w:asciiTheme="majorBidi" w:hAnsiTheme="majorBidi"/>
          <w:i w:val="0"/>
          <w:iCs w:val="0"/>
          <w:color w:val="auto"/>
          <w:sz w:val="24"/>
          <w:szCs w:val="24"/>
        </w:rPr>
        <w:t>est plus avancé en Djellal Chergui q</w:t>
      </w:r>
      <w:r w:rsidR="00FC0F0F">
        <w:rPr>
          <w:rFonts w:asciiTheme="majorBidi" w:hAnsiTheme="majorBidi"/>
          <w:i w:val="0"/>
          <w:iCs w:val="0"/>
          <w:color w:val="auto"/>
          <w:sz w:val="24"/>
          <w:szCs w:val="24"/>
        </w:rPr>
        <w:t xml:space="preserve">u’en </w:t>
      </w:r>
      <w:r w:rsidRPr="00FC0F0F">
        <w:rPr>
          <w:rFonts w:asciiTheme="majorBidi" w:hAnsiTheme="majorBidi"/>
          <w:i w:val="0"/>
          <w:iCs w:val="0"/>
          <w:color w:val="auto"/>
          <w:sz w:val="24"/>
          <w:szCs w:val="24"/>
        </w:rPr>
        <w:t>M</w:t>
      </w:r>
      <w:r w:rsidR="00176293" w:rsidRPr="00FC0F0F">
        <w:rPr>
          <w:rFonts w:asciiTheme="majorBidi" w:hAnsiTheme="majorBidi"/>
          <w:i w:val="0"/>
          <w:iCs w:val="0"/>
          <w:color w:val="auto"/>
          <w:sz w:val="24"/>
          <w:szCs w:val="24"/>
        </w:rPr>
        <w:t>ezreb El Ali</w:t>
      </w:r>
      <w:r w:rsidRPr="00FC0F0F">
        <w:rPr>
          <w:rFonts w:asciiTheme="majorBidi" w:hAnsiTheme="majorBidi"/>
          <w:i w:val="0"/>
          <w:iCs w:val="0"/>
          <w:color w:val="auto"/>
          <w:sz w:val="24"/>
          <w:szCs w:val="24"/>
        </w:rPr>
        <w:t>.</w:t>
      </w:r>
      <w:r w:rsidR="00FC0F0F" w:rsidRPr="00FC0F0F">
        <w:rPr>
          <w:rFonts w:asciiTheme="majorBidi" w:hAnsiTheme="majorBidi"/>
          <w:i w:val="0"/>
          <w:iCs w:val="0"/>
          <w:color w:val="auto"/>
          <w:sz w:val="24"/>
          <w:szCs w:val="24"/>
        </w:rPr>
        <w:t xml:space="preserve"> Cette </w:t>
      </w:r>
      <w:r w:rsidR="00FC0F0F" w:rsidRPr="00FC0F0F">
        <w:rPr>
          <w:rFonts w:asciiTheme="majorBidi" w:hAnsiTheme="majorBidi"/>
          <w:i w:val="0"/>
          <w:iCs w:val="0"/>
          <w:color w:val="auto"/>
          <w:sz w:val="24"/>
          <w:szCs w:val="24"/>
        </w:rPr>
        <w:t>précocité observée semble être provoquée par les facteurs écologiques qui ne sont pas les mêmes, telles que la température, la photopériode et les précipitations.</w:t>
      </w:r>
    </w:p>
    <w:p w:rsidR="00A037B9" w:rsidRPr="00A037B9" w:rsidRDefault="00A037B9" w:rsidP="00441C3A">
      <w:pPr>
        <w:pStyle w:val="Titre9"/>
        <w:spacing w:before="0"/>
        <w:ind w:firstLine="567"/>
        <w:jc w:val="both"/>
        <w:rPr>
          <w:rFonts w:asciiTheme="majorBidi" w:hAnsiTheme="majorBidi"/>
          <w:i w:val="0"/>
          <w:iCs w:val="0"/>
          <w:color w:val="auto"/>
          <w:sz w:val="12"/>
          <w:szCs w:val="12"/>
        </w:rPr>
      </w:pPr>
    </w:p>
    <w:p w:rsidR="005E3762" w:rsidRPr="00A037B9" w:rsidRDefault="00CA54C7" w:rsidP="00F06249">
      <w:pPr>
        <w:pStyle w:val="Titre9"/>
        <w:spacing w:before="0"/>
        <w:ind w:firstLine="567"/>
        <w:jc w:val="both"/>
        <w:rPr>
          <w:rFonts w:asciiTheme="majorBidi" w:hAnsiTheme="majorBidi"/>
          <w:i w:val="0"/>
          <w:iCs w:val="0"/>
          <w:color w:val="auto"/>
          <w:sz w:val="24"/>
          <w:szCs w:val="24"/>
        </w:rPr>
      </w:pPr>
      <w:r>
        <w:rPr>
          <w:rFonts w:ascii="Times New Roman" w:hAnsi="Times New Roman" w:cs="Times New Roman"/>
          <w:i w:val="0"/>
          <w:iCs w:val="0"/>
          <w:color w:val="auto"/>
          <w:sz w:val="24"/>
          <w:szCs w:val="24"/>
        </w:rPr>
        <w:t>En conclusion</w:t>
      </w:r>
      <w:r w:rsidR="00441C3A" w:rsidRPr="00A037B9">
        <w:rPr>
          <w:rFonts w:ascii="Times New Roman" w:hAnsi="Times New Roman" w:cs="Times New Roman"/>
          <w:i w:val="0"/>
          <w:iCs w:val="0"/>
          <w:color w:val="auto"/>
          <w:sz w:val="24"/>
          <w:szCs w:val="24"/>
        </w:rPr>
        <w:t xml:space="preserve">, les provenances les plus </w:t>
      </w:r>
      <w:r w:rsidR="00F06249">
        <w:rPr>
          <w:rFonts w:ascii="Times New Roman" w:hAnsi="Times New Roman" w:cs="Times New Roman"/>
          <w:i w:val="0"/>
          <w:iCs w:val="0"/>
          <w:color w:val="auto"/>
          <w:sz w:val="24"/>
          <w:szCs w:val="24"/>
        </w:rPr>
        <w:t>v</w:t>
      </w:r>
      <w:r w:rsidR="00F06249" w:rsidRPr="00F06249">
        <w:rPr>
          <w:rFonts w:ascii="Times New Roman" w:hAnsi="Times New Roman" w:cs="Times New Roman"/>
          <w:i w:val="0"/>
          <w:iCs w:val="0"/>
          <w:color w:val="auto"/>
          <w:sz w:val="24"/>
          <w:szCs w:val="24"/>
        </w:rPr>
        <w:t>igoureuses</w:t>
      </w:r>
      <w:r w:rsidR="00441C3A" w:rsidRPr="00A037B9">
        <w:rPr>
          <w:rFonts w:ascii="Times New Roman" w:hAnsi="Times New Roman" w:cs="Times New Roman"/>
          <w:i w:val="0"/>
          <w:iCs w:val="0"/>
          <w:color w:val="auto"/>
          <w:sz w:val="24"/>
          <w:szCs w:val="24"/>
        </w:rPr>
        <w:t>, sur la base d’une sélection morphologique et chimique, sont celles de Djelfa, vu qu’elles se caractérisent par des paramètres morphologiques relativement moyens, mais possédant des huiles essentielles caractérisées par un chemotype oxygéné (oxyde de caryophyllène).</w:t>
      </w:r>
    </w:p>
    <w:p w:rsidR="005B24E7" w:rsidRPr="00A037B9" w:rsidRDefault="005B24E7" w:rsidP="005B24E7">
      <w:pPr>
        <w:autoSpaceDE w:val="0"/>
        <w:autoSpaceDN w:val="0"/>
        <w:adjustRightInd w:val="0"/>
        <w:ind w:firstLine="567"/>
        <w:jc w:val="both"/>
        <w:rPr>
          <w:rFonts w:ascii="Times New Roman" w:hAnsi="Times New Roman" w:cs="Times New Roman"/>
          <w:sz w:val="12"/>
          <w:szCs w:val="12"/>
        </w:rPr>
      </w:pPr>
    </w:p>
    <w:p w:rsidR="001F693D" w:rsidRPr="001C6E2A" w:rsidRDefault="00F06249" w:rsidP="005B24E7">
      <w:pPr>
        <w:autoSpaceDE w:val="0"/>
        <w:autoSpaceDN w:val="0"/>
        <w:adjustRightInd w:val="0"/>
        <w:spacing w:after="240"/>
        <w:ind w:firstLine="567"/>
        <w:jc w:val="both"/>
        <w:rPr>
          <w:rFonts w:ascii="Times New Roman" w:hAnsi="Times New Roman" w:cs="Times New Roman"/>
          <w:sz w:val="24"/>
          <w:szCs w:val="24"/>
        </w:rPr>
      </w:pPr>
      <w:r>
        <w:rPr>
          <w:rFonts w:asciiTheme="majorBidi" w:hAnsiTheme="majorBidi"/>
          <w:sz w:val="24"/>
          <w:szCs w:val="24"/>
        </w:rPr>
        <w:t>Ainsi, l</w:t>
      </w:r>
      <w:r w:rsidR="009F08C4" w:rsidRPr="009F08C4">
        <w:rPr>
          <w:rFonts w:asciiTheme="majorBidi" w:hAnsiTheme="majorBidi"/>
          <w:sz w:val="24"/>
          <w:szCs w:val="24"/>
        </w:rPr>
        <w:t xml:space="preserve">es résultats qui découlent de notre étude permettent d’avoir des implications pratiques utiles dans une optique de </w:t>
      </w:r>
      <w:r w:rsidR="00DD1675" w:rsidRPr="001C18C5">
        <w:rPr>
          <w:rFonts w:asciiTheme="majorBidi" w:hAnsiTheme="majorBidi"/>
          <w:sz w:val="24"/>
          <w:szCs w:val="24"/>
        </w:rPr>
        <w:t xml:space="preserve">contribuer à la </w:t>
      </w:r>
      <w:r w:rsidR="009F08C4" w:rsidRPr="001C18C5">
        <w:rPr>
          <w:rFonts w:asciiTheme="majorBidi" w:hAnsiTheme="majorBidi"/>
          <w:sz w:val="24"/>
          <w:szCs w:val="24"/>
        </w:rPr>
        <w:t>r</w:t>
      </w:r>
      <w:r w:rsidR="00DD1675" w:rsidRPr="001C18C5">
        <w:rPr>
          <w:rFonts w:asciiTheme="majorBidi" w:hAnsiTheme="majorBidi"/>
          <w:sz w:val="24"/>
          <w:szCs w:val="24"/>
        </w:rPr>
        <w:t>econnaissance de</w:t>
      </w:r>
      <w:r w:rsidR="00575E4E" w:rsidRPr="001C18C5">
        <w:rPr>
          <w:rFonts w:asciiTheme="majorBidi" w:hAnsiTheme="majorBidi"/>
          <w:sz w:val="24"/>
          <w:szCs w:val="24"/>
        </w:rPr>
        <w:t xml:space="preserve"> l’origine de</w:t>
      </w:r>
      <w:r w:rsidR="00575E4E">
        <w:rPr>
          <w:rFonts w:asciiTheme="majorBidi" w:hAnsiTheme="majorBidi"/>
          <w:i/>
          <w:iCs/>
          <w:sz w:val="24"/>
          <w:szCs w:val="24"/>
        </w:rPr>
        <w:t xml:space="preserve"> </w:t>
      </w:r>
      <w:r w:rsidR="009F08C4" w:rsidRPr="009F08C4">
        <w:rPr>
          <w:rFonts w:asciiTheme="majorBidi" w:hAnsiTheme="majorBidi"/>
          <w:sz w:val="24"/>
          <w:szCs w:val="24"/>
        </w:rPr>
        <w:t>pin d’Alep.</w:t>
      </w:r>
    </w:p>
    <w:p w:rsidR="00A037B9" w:rsidRPr="00F06249" w:rsidRDefault="00A037B9" w:rsidP="005B24E7">
      <w:pPr>
        <w:pStyle w:val="Paragraphedeliste"/>
        <w:autoSpaceDE w:val="0"/>
        <w:autoSpaceDN w:val="0"/>
        <w:adjustRightInd w:val="0"/>
        <w:spacing w:line="240" w:lineRule="auto"/>
        <w:ind w:left="0"/>
        <w:jc w:val="both"/>
        <w:rPr>
          <w:rFonts w:asciiTheme="majorBidi" w:hAnsiTheme="majorBidi" w:cstheme="majorBidi"/>
          <w:b/>
          <w:bCs/>
          <w:sz w:val="14"/>
          <w:szCs w:val="14"/>
        </w:rPr>
      </w:pPr>
    </w:p>
    <w:p w:rsidR="009F08C4" w:rsidRPr="009F08C4" w:rsidRDefault="009F08C4" w:rsidP="005B24E7">
      <w:pPr>
        <w:pStyle w:val="Paragraphedeliste"/>
        <w:autoSpaceDE w:val="0"/>
        <w:autoSpaceDN w:val="0"/>
        <w:adjustRightInd w:val="0"/>
        <w:spacing w:line="240" w:lineRule="auto"/>
        <w:ind w:left="0"/>
        <w:jc w:val="both"/>
        <w:rPr>
          <w:rFonts w:asciiTheme="majorBidi" w:hAnsiTheme="majorBidi" w:cstheme="majorBidi"/>
          <w:sz w:val="24"/>
          <w:szCs w:val="24"/>
        </w:rPr>
      </w:pPr>
      <w:r w:rsidRPr="009F08C4">
        <w:rPr>
          <w:rFonts w:asciiTheme="majorBidi" w:hAnsiTheme="majorBidi" w:cstheme="majorBidi"/>
          <w:b/>
          <w:bCs/>
          <w:sz w:val="24"/>
          <w:szCs w:val="24"/>
        </w:rPr>
        <w:t>Mots clés :</w:t>
      </w:r>
      <w:r w:rsidRPr="009F08C4">
        <w:rPr>
          <w:rFonts w:asciiTheme="majorBidi" w:hAnsiTheme="majorBidi" w:cstheme="majorBidi"/>
          <w:sz w:val="24"/>
          <w:szCs w:val="24"/>
        </w:rPr>
        <w:t xml:space="preserve"> </w:t>
      </w:r>
      <w:r w:rsidRPr="009F08C4">
        <w:rPr>
          <w:rFonts w:asciiTheme="majorBidi" w:hAnsiTheme="majorBidi" w:cstheme="majorBidi"/>
          <w:i/>
          <w:iCs/>
          <w:sz w:val="24"/>
          <w:szCs w:val="24"/>
        </w:rPr>
        <w:t xml:space="preserve">Pinus halepensis </w:t>
      </w:r>
      <w:r w:rsidRPr="009F08C4">
        <w:rPr>
          <w:rFonts w:asciiTheme="majorBidi" w:hAnsiTheme="majorBidi" w:cstheme="majorBidi"/>
          <w:sz w:val="24"/>
          <w:szCs w:val="24"/>
        </w:rPr>
        <w:t>Mill</w:t>
      </w:r>
      <w:r w:rsidRPr="009F08C4">
        <w:rPr>
          <w:rFonts w:asciiTheme="majorBidi" w:hAnsiTheme="majorBidi" w:cstheme="majorBidi"/>
          <w:i/>
          <w:iCs/>
          <w:sz w:val="24"/>
          <w:szCs w:val="24"/>
        </w:rPr>
        <w:t>.,</w:t>
      </w:r>
      <w:r w:rsidRPr="009F08C4">
        <w:rPr>
          <w:rFonts w:asciiTheme="majorBidi" w:hAnsiTheme="majorBidi" w:cstheme="majorBidi"/>
          <w:sz w:val="24"/>
          <w:szCs w:val="24"/>
        </w:rPr>
        <w:t xml:space="preserve"> Variabilité écologique, Variabilité morphologique, </w:t>
      </w:r>
      <w:r w:rsidR="00262711" w:rsidRPr="00262711">
        <w:rPr>
          <w:rFonts w:asciiTheme="majorBidi" w:hAnsiTheme="majorBidi" w:cstheme="majorBidi"/>
          <w:sz w:val="24"/>
          <w:szCs w:val="24"/>
        </w:rPr>
        <w:t xml:space="preserve">Variabilité </w:t>
      </w:r>
      <w:r w:rsidR="00262711">
        <w:rPr>
          <w:rFonts w:asciiTheme="majorBidi" w:hAnsiTheme="majorBidi" w:cstheme="majorBidi"/>
          <w:sz w:val="24"/>
          <w:szCs w:val="24"/>
        </w:rPr>
        <w:t xml:space="preserve">chimique, </w:t>
      </w:r>
      <w:r w:rsidRPr="009F08C4">
        <w:rPr>
          <w:rFonts w:asciiTheme="majorBidi" w:hAnsiTheme="majorBidi" w:cstheme="majorBidi"/>
          <w:sz w:val="24"/>
          <w:szCs w:val="24"/>
        </w:rPr>
        <w:t>Provenances, Semi-aride.</w:t>
      </w:r>
    </w:p>
    <w:sectPr w:rsidR="009F08C4" w:rsidRPr="009F08C4" w:rsidSect="00026FAD">
      <w:pgSz w:w="11906" w:h="16838"/>
      <w:pgMar w:top="1417" w:right="1417" w:bottom="1417" w:left="1417" w:header="708" w:footer="708" w:gutter="0"/>
      <w:pgBorders w:offsetFrom="page">
        <w:top w:val="double" w:sz="4" w:space="24" w:color="auto"/>
        <w:left w:val="double" w:sz="4" w:space="24" w:color="auto"/>
        <w:bottom w:val="double" w:sz="4" w:space="24" w:color="auto"/>
        <w:right w:val="double" w:sz="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52AC" w:rsidRDefault="00D152AC" w:rsidP="00262711">
      <w:r>
        <w:separator/>
      </w:r>
    </w:p>
  </w:endnote>
  <w:endnote w:type="continuationSeparator" w:id="0">
    <w:p w:rsidR="00D152AC" w:rsidRDefault="00D152AC" w:rsidP="002627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52AC" w:rsidRDefault="00D152AC" w:rsidP="00262711">
      <w:r>
        <w:separator/>
      </w:r>
    </w:p>
  </w:footnote>
  <w:footnote w:type="continuationSeparator" w:id="0">
    <w:p w:rsidR="00D152AC" w:rsidRDefault="00D152AC" w:rsidP="0026271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343BC5"/>
    <w:multiLevelType w:val="multilevel"/>
    <w:tmpl w:val="040C001D"/>
    <w:styleLink w:val="Style2"/>
    <w:lvl w:ilvl="0">
      <w:start w:val="1"/>
      <w:numFmt w:val="upperRoman"/>
      <w:lvlText w:val="%1"/>
      <w:lvlJc w:val="left"/>
      <w:pPr>
        <w:ind w:left="360" w:hanging="360"/>
      </w:pPr>
      <w:rPr>
        <w:rFonts w:ascii="Times New Roman" w:hAnsi="Times New Roman" w:cs="Times New Roman" w:hint="default"/>
        <w:color w:val="auto"/>
      </w:rPr>
    </w:lvl>
    <w:lvl w:ilvl="1">
      <w:start w:val="1"/>
      <w:numFmt w:val="decimal"/>
      <w:lvlText w:val="%2)"/>
      <w:lvlJc w:val="left"/>
      <w:pPr>
        <w:ind w:left="720" w:hanging="360"/>
      </w:pPr>
    </w:lvl>
    <w:lvl w:ilvl="2">
      <w:start w:val="1"/>
      <w:numFmt w:val="decimal"/>
      <w:lvlText w:val="%3)"/>
      <w:lvlJc w:val="left"/>
      <w:pPr>
        <w:ind w:left="1080" w:hanging="360"/>
      </w:pPr>
      <w:rPr>
        <w:rFonts w:ascii="Times New Roman" w:hAnsi="Times New Roman"/>
      </w:rPr>
    </w:lvl>
    <w:lvl w:ilvl="3">
      <w:start w:val="1"/>
      <w:numFmt w:val="decimal"/>
      <w:lvlText w:val="(%4)"/>
      <w:lvlJc w:val="left"/>
      <w:pPr>
        <w:ind w:left="1440" w:hanging="360"/>
      </w:pPr>
    </w:lvl>
    <w:lvl w:ilvl="4">
      <w:start w:val="1"/>
      <w:numFmt w:val="decimal"/>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8"/>
  <w:proofState w:spelling="clean" w:grammar="clean"/>
  <w:defaultTabStop w:val="567"/>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08C4"/>
    <w:rsid w:val="00026FAD"/>
    <w:rsid w:val="000D425A"/>
    <w:rsid w:val="001650E1"/>
    <w:rsid w:val="00176293"/>
    <w:rsid w:val="001B5106"/>
    <w:rsid w:val="001C18C5"/>
    <w:rsid w:val="001C6E2A"/>
    <w:rsid w:val="001D1F5F"/>
    <w:rsid w:val="001F693D"/>
    <w:rsid w:val="00217978"/>
    <w:rsid w:val="00222136"/>
    <w:rsid w:val="00262711"/>
    <w:rsid w:val="0027194D"/>
    <w:rsid w:val="00273065"/>
    <w:rsid w:val="002B6541"/>
    <w:rsid w:val="002F6406"/>
    <w:rsid w:val="00396343"/>
    <w:rsid w:val="003D6760"/>
    <w:rsid w:val="00441C3A"/>
    <w:rsid w:val="00472C6A"/>
    <w:rsid w:val="00491644"/>
    <w:rsid w:val="004D5BEE"/>
    <w:rsid w:val="00532544"/>
    <w:rsid w:val="0055217D"/>
    <w:rsid w:val="0056363D"/>
    <w:rsid w:val="00575E4E"/>
    <w:rsid w:val="005B24E7"/>
    <w:rsid w:val="005D038C"/>
    <w:rsid w:val="005E3762"/>
    <w:rsid w:val="00741655"/>
    <w:rsid w:val="00792BA4"/>
    <w:rsid w:val="00794452"/>
    <w:rsid w:val="0079560A"/>
    <w:rsid w:val="00796EC1"/>
    <w:rsid w:val="008070D0"/>
    <w:rsid w:val="008444BE"/>
    <w:rsid w:val="008767B8"/>
    <w:rsid w:val="00891DA4"/>
    <w:rsid w:val="008B1FE3"/>
    <w:rsid w:val="009A6B64"/>
    <w:rsid w:val="009D1C94"/>
    <w:rsid w:val="009F08C4"/>
    <w:rsid w:val="00A037B9"/>
    <w:rsid w:val="00B21AA8"/>
    <w:rsid w:val="00B947CE"/>
    <w:rsid w:val="00B97C4A"/>
    <w:rsid w:val="00BB5681"/>
    <w:rsid w:val="00CA54C7"/>
    <w:rsid w:val="00CC12B0"/>
    <w:rsid w:val="00CF5198"/>
    <w:rsid w:val="00D152AC"/>
    <w:rsid w:val="00D16283"/>
    <w:rsid w:val="00D17467"/>
    <w:rsid w:val="00D31ADE"/>
    <w:rsid w:val="00D446A0"/>
    <w:rsid w:val="00D573FA"/>
    <w:rsid w:val="00DA2D59"/>
    <w:rsid w:val="00DD1675"/>
    <w:rsid w:val="00DE45C0"/>
    <w:rsid w:val="00E37998"/>
    <w:rsid w:val="00E57A9A"/>
    <w:rsid w:val="00EA6623"/>
    <w:rsid w:val="00EB3EC1"/>
    <w:rsid w:val="00EF7827"/>
    <w:rsid w:val="00F06249"/>
    <w:rsid w:val="00F62E6E"/>
    <w:rsid w:val="00FB0437"/>
    <w:rsid w:val="00FC0F0F"/>
    <w:rsid w:val="00FD3B5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ind w:firstLine="284"/>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qFormat/>
    <w:rsid w:val="009F08C4"/>
    <w:pPr>
      <w:keepNext/>
      <w:ind w:firstLine="0"/>
      <w:outlineLvl w:val="0"/>
    </w:pPr>
    <w:rPr>
      <w:rFonts w:ascii="Times New Roman" w:eastAsia="Times New Roman" w:hAnsi="Times New Roman" w:cs="Times New Roman"/>
      <w:sz w:val="28"/>
      <w:szCs w:val="28"/>
      <w:lang w:eastAsia="fr-FR"/>
    </w:rPr>
  </w:style>
  <w:style w:type="paragraph" w:styleId="Titre9">
    <w:name w:val="heading 9"/>
    <w:basedOn w:val="Normal"/>
    <w:next w:val="Normal"/>
    <w:link w:val="Titre9Car"/>
    <w:uiPriority w:val="9"/>
    <w:unhideWhenUsed/>
    <w:qFormat/>
    <w:rsid w:val="009F08C4"/>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numbering" w:customStyle="1" w:styleId="Style2">
    <w:name w:val="Style2"/>
    <w:uiPriority w:val="99"/>
    <w:rsid w:val="00EB3EC1"/>
    <w:pPr>
      <w:numPr>
        <w:numId w:val="1"/>
      </w:numPr>
    </w:pPr>
  </w:style>
  <w:style w:type="paragraph" w:styleId="Corpsdetexte">
    <w:name w:val="Body Text"/>
    <w:basedOn w:val="Normal"/>
    <w:link w:val="CorpsdetexteCar"/>
    <w:unhideWhenUsed/>
    <w:rsid w:val="009F08C4"/>
    <w:pPr>
      <w:ind w:firstLine="561"/>
      <w:jc w:val="both"/>
    </w:pPr>
    <w:rPr>
      <w:rFonts w:ascii="Garamond" w:eastAsia="Times New Roman" w:hAnsi="Garamond" w:cs="Arial"/>
      <w:sz w:val="28"/>
      <w:szCs w:val="24"/>
      <w:lang w:eastAsia="fr-FR"/>
    </w:rPr>
  </w:style>
  <w:style w:type="character" w:customStyle="1" w:styleId="CorpsdetexteCar">
    <w:name w:val="Corps de texte Car"/>
    <w:basedOn w:val="Policepardfaut"/>
    <w:link w:val="Corpsdetexte"/>
    <w:rsid w:val="009F08C4"/>
    <w:rPr>
      <w:rFonts w:ascii="Garamond" w:eastAsia="Times New Roman" w:hAnsi="Garamond" w:cs="Arial"/>
      <w:sz w:val="28"/>
      <w:szCs w:val="24"/>
      <w:lang w:eastAsia="fr-FR"/>
    </w:rPr>
  </w:style>
  <w:style w:type="character" w:customStyle="1" w:styleId="Titre1Car">
    <w:name w:val="Titre 1 Car"/>
    <w:basedOn w:val="Policepardfaut"/>
    <w:link w:val="Titre1"/>
    <w:rsid w:val="009F08C4"/>
    <w:rPr>
      <w:rFonts w:ascii="Times New Roman" w:eastAsia="Times New Roman" w:hAnsi="Times New Roman" w:cs="Times New Roman"/>
      <w:sz w:val="28"/>
      <w:szCs w:val="28"/>
      <w:lang w:eastAsia="fr-FR"/>
    </w:rPr>
  </w:style>
  <w:style w:type="paragraph" w:styleId="Corpsdetexte2">
    <w:name w:val="Body Text 2"/>
    <w:basedOn w:val="Normal"/>
    <w:link w:val="Corpsdetexte2Car"/>
    <w:uiPriority w:val="99"/>
    <w:semiHidden/>
    <w:unhideWhenUsed/>
    <w:rsid w:val="009F08C4"/>
    <w:pPr>
      <w:spacing w:after="120" w:line="480" w:lineRule="auto"/>
      <w:ind w:firstLine="0"/>
    </w:pPr>
  </w:style>
  <w:style w:type="character" w:customStyle="1" w:styleId="Corpsdetexte2Car">
    <w:name w:val="Corps de texte 2 Car"/>
    <w:basedOn w:val="Policepardfaut"/>
    <w:link w:val="Corpsdetexte2"/>
    <w:uiPriority w:val="99"/>
    <w:semiHidden/>
    <w:rsid w:val="009F08C4"/>
  </w:style>
  <w:style w:type="character" w:customStyle="1" w:styleId="Titre9Car">
    <w:name w:val="Titre 9 Car"/>
    <w:basedOn w:val="Policepardfaut"/>
    <w:link w:val="Titre9"/>
    <w:uiPriority w:val="9"/>
    <w:rsid w:val="009F08C4"/>
    <w:rPr>
      <w:rFonts w:asciiTheme="majorHAnsi" w:eastAsiaTheme="majorEastAsia" w:hAnsiTheme="majorHAnsi" w:cstheme="majorBidi"/>
      <w:i/>
      <w:iCs/>
      <w:color w:val="404040" w:themeColor="text1" w:themeTint="BF"/>
      <w:sz w:val="20"/>
      <w:szCs w:val="20"/>
    </w:rPr>
  </w:style>
  <w:style w:type="paragraph" w:styleId="Paragraphedeliste">
    <w:name w:val="List Paragraph"/>
    <w:basedOn w:val="Normal"/>
    <w:uiPriority w:val="99"/>
    <w:qFormat/>
    <w:rsid w:val="009F08C4"/>
    <w:pPr>
      <w:spacing w:after="200" w:line="276" w:lineRule="auto"/>
      <w:ind w:left="720" w:firstLine="0"/>
      <w:contextualSpacing/>
    </w:pPr>
  </w:style>
  <w:style w:type="paragraph" w:styleId="En-tte">
    <w:name w:val="header"/>
    <w:basedOn w:val="Normal"/>
    <w:link w:val="En-tteCar"/>
    <w:uiPriority w:val="99"/>
    <w:unhideWhenUsed/>
    <w:rsid w:val="00262711"/>
    <w:pPr>
      <w:tabs>
        <w:tab w:val="center" w:pos="4153"/>
        <w:tab w:val="right" w:pos="8306"/>
      </w:tabs>
    </w:pPr>
  </w:style>
  <w:style w:type="character" w:customStyle="1" w:styleId="En-tteCar">
    <w:name w:val="En-tête Car"/>
    <w:basedOn w:val="Policepardfaut"/>
    <w:link w:val="En-tte"/>
    <w:uiPriority w:val="99"/>
    <w:rsid w:val="00262711"/>
  </w:style>
  <w:style w:type="paragraph" w:styleId="Pieddepage">
    <w:name w:val="footer"/>
    <w:basedOn w:val="Normal"/>
    <w:link w:val="PieddepageCar"/>
    <w:uiPriority w:val="99"/>
    <w:unhideWhenUsed/>
    <w:rsid w:val="00262711"/>
    <w:pPr>
      <w:tabs>
        <w:tab w:val="center" w:pos="4153"/>
        <w:tab w:val="right" w:pos="8306"/>
      </w:tabs>
    </w:pPr>
  </w:style>
  <w:style w:type="character" w:customStyle="1" w:styleId="PieddepageCar">
    <w:name w:val="Pied de page Car"/>
    <w:basedOn w:val="Policepardfaut"/>
    <w:link w:val="Pieddepage"/>
    <w:uiPriority w:val="99"/>
    <w:rsid w:val="0026271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ind w:firstLine="284"/>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qFormat/>
    <w:rsid w:val="009F08C4"/>
    <w:pPr>
      <w:keepNext/>
      <w:ind w:firstLine="0"/>
      <w:outlineLvl w:val="0"/>
    </w:pPr>
    <w:rPr>
      <w:rFonts w:ascii="Times New Roman" w:eastAsia="Times New Roman" w:hAnsi="Times New Roman" w:cs="Times New Roman"/>
      <w:sz w:val="28"/>
      <w:szCs w:val="28"/>
      <w:lang w:eastAsia="fr-FR"/>
    </w:rPr>
  </w:style>
  <w:style w:type="paragraph" w:styleId="Titre9">
    <w:name w:val="heading 9"/>
    <w:basedOn w:val="Normal"/>
    <w:next w:val="Normal"/>
    <w:link w:val="Titre9Car"/>
    <w:uiPriority w:val="9"/>
    <w:unhideWhenUsed/>
    <w:qFormat/>
    <w:rsid w:val="009F08C4"/>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numbering" w:customStyle="1" w:styleId="Style2">
    <w:name w:val="Style2"/>
    <w:uiPriority w:val="99"/>
    <w:rsid w:val="00EB3EC1"/>
    <w:pPr>
      <w:numPr>
        <w:numId w:val="1"/>
      </w:numPr>
    </w:pPr>
  </w:style>
  <w:style w:type="paragraph" w:styleId="Corpsdetexte">
    <w:name w:val="Body Text"/>
    <w:basedOn w:val="Normal"/>
    <w:link w:val="CorpsdetexteCar"/>
    <w:unhideWhenUsed/>
    <w:rsid w:val="009F08C4"/>
    <w:pPr>
      <w:ind w:firstLine="561"/>
      <w:jc w:val="both"/>
    </w:pPr>
    <w:rPr>
      <w:rFonts w:ascii="Garamond" w:eastAsia="Times New Roman" w:hAnsi="Garamond" w:cs="Arial"/>
      <w:sz w:val="28"/>
      <w:szCs w:val="24"/>
      <w:lang w:eastAsia="fr-FR"/>
    </w:rPr>
  </w:style>
  <w:style w:type="character" w:customStyle="1" w:styleId="CorpsdetexteCar">
    <w:name w:val="Corps de texte Car"/>
    <w:basedOn w:val="Policepardfaut"/>
    <w:link w:val="Corpsdetexte"/>
    <w:rsid w:val="009F08C4"/>
    <w:rPr>
      <w:rFonts w:ascii="Garamond" w:eastAsia="Times New Roman" w:hAnsi="Garamond" w:cs="Arial"/>
      <w:sz w:val="28"/>
      <w:szCs w:val="24"/>
      <w:lang w:eastAsia="fr-FR"/>
    </w:rPr>
  </w:style>
  <w:style w:type="character" w:customStyle="1" w:styleId="Titre1Car">
    <w:name w:val="Titre 1 Car"/>
    <w:basedOn w:val="Policepardfaut"/>
    <w:link w:val="Titre1"/>
    <w:rsid w:val="009F08C4"/>
    <w:rPr>
      <w:rFonts w:ascii="Times New Roman" w:eastAsia="Times New Roman" w:hAnsi="Times New Roman" w:cs="Times New Roman"/>
      <w:sz w:val="28"/>
      <w:szCs w:val="28"/>
      <w:lang w:eastAsia="fr-FR"/>
    </w:rPr>
  </w:style>
  <w:style w:type="paragraph" w:styleId="Corpsdetexte2">
    <w:name w:val="Body Text 2"/>
    <w:basedOn w:val="Normal"/>
    <w:link w:val="Corpsdetexte2Car"/>
    <w:uiPriority w:val="99"/>
    <w:semiHidden/>
    <w:unhideWhenUsed/>
    <w:rsid w:val="009F08C4"/>
    <w:pPr>
      <w:spacing w:after="120" w:line="480" w:lineRule="auto"/>
      <w:ind w:firstLine="0"/>
    </w:pPr>
  </w:style>
  <w:style w:type="character" w:customStyle="1" w:styleId="Corpsdetexte2Car">
    <w:name w:val="Corps de texte 2 Car"/>
    <w:basedOn w:val="Policepardfaut"/>
    <w:link w:val="Corpsdetexte2"/>
    <w:uiPriority w:val="99"/>
    <w:semiHidden/>
    <w:rsid w:val="009F08C4"/>
  </w:style>
  <w:style w:type="character" w:customStyle="1" w:styleId="Titre9Car">
    <w:name w:val="Titre 9 Car"/>
    <w:basedOn w:val="Policepardfaut"/>
    <w:link w:val="Titre9"/>
    <w:uiPriority w:val="9"/>
    <w:rsid w:val="009F08C4"/>
    <w:rPr>
      <w:rFonts w:asciiTheme="majorHAnsi" w:eastAsiaTheme="majorEastAsia" w:hAnsiTheme="majorHAnsi" w:cstheme="majorBidi"/>
      <w:i/>
      <w:iCs/>
      <w:color w:val="404040" w:themeColor="text1" w:themeTint="BF"/>
      <w:sz w:val="20"/>
      <w:szCs w:val="20"/>
    </w:rPr>
  </w:style>
  <w:style w:type="paragraph" w:styleId="Paragraphedeliste">
    <w:name w:val="List Paragraph"/>
    <w:basedOn w:val="Normal"/>
    <w:uiPriority w:val="99"/>
    <w:qFormat/>
    <w:rsid w:val="009F08C4"/>
    <w:pPr>
      <w:spacing w:after="200" w:line="276" w:lineRule="auto"/>
      <w:ind w:left="720" w:firstLine="0"/>
      <w:contextualSpacing/>
    </w:pPr>
  </w:style>
  <w:style w:type="paragraph" w:styleId="En-tte">
    <w:name w:val="header"/>
    <w:basedOn w:val="Normal"/>
    <w:link w:val="En-tteCar"/>
    <w:uiPriority w:val="99"/>
    <w:unhideWhenUsed/>
    <w:rsid w:val="00262711"/>
    <w:pPr>
      <w:tabs>
        <w:tab w:val="center" w:pos="4153"/>
        <w:tab w:val="right" w:pos="8306"/>
      </w:tabs>
    </w:pPr>
  </w:style>
  <w:style w:type="character" w:customStyle="1" w:styleId="En-tteCar">
    <w:name w:val="En-tête Car"/>
    <w:basedOn w:val="Policepardfaut"/>
    <w:link w:val="En-tte"/>
    <w:uiPriority w:val="99"/>
    <w:rsid w:val="00262711"/>
  </w:style>
  <w:style w:type="paragraph" w:styleId="Pieddepage">
    <w:name w:val="footer"/>
    <w:basedOn w:val="Normal"/>
    <w:link w:val="PieddepageCar"/>
    <w:uiPriority w:val="99"/>
    <w:unhideWhenUsed/>
    <w:rsid w:val="00262711"/>
    <w:pPr>
      <w:tabs>
        <w:tab w:val="center" w:pos="4153"/>
        <w:tab w:val="right" w:pos="8306"/>
      </w:tabs>
    </w:pPr>
  </w:style>
  <w:style w:type="character" w:customStyle="1" w:styleId="PieddepageCar">
    <w:name w:val="Pied de page Car"/>
    <w:basedOn w:val="Policepardfaut"/>
    <w:link w:val="Pieddepage"/>
    <w:uiPriority w:val="99"/>
    <w:rsid w:val="002627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1</Pages>
  <Words>529</Words>
  <Characters>2911</Characters>
  <Application>Microsoft Office Word</Application>
  <DocSecurity>0</DocSecurity>
  <Lines>24</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Zina</dc:creator>
  <cp:lastModifiedBy>Zina</cp:lastModifiedBy>
  <cp:revision>17</cp:revision>
  <cp:lastPrinted>2016-04-05T16:46:00Z</cp:lastPrinted>
  <dcterms:created xsi:type="dcterms:W3CDTF">2016-02-07T19:06:00Z</dcterms:created>
  <dcterms:modified xsi:type="dcterms:W3CDTF">2016-04-05T16:46:00Z</dcterms:modified>
</cp:coreProperties>
</file>