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A86" w:rsidRDefault="00751A86" w:rsidP="008E3B50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b/>
          <w:bCs/>
          <w:color w:val="000000"/>
          <w:kern w:val="24"/>
        </w:rPr>
      </w:pPr>
    </w:p>
    <w:p w:rsidR="00751A86" w:rsidRDefault="00751A86" w:rsidP="008E3B50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b/>
          <w:bCs/>
          <w:color w:val="000000"/>
          <w:kern w:val="24"/>
        </w:rPr>
      </w:pPr>
    </w:p>
    <w:p w:rsidR="00751A86" w:rsidRDefault="00751A86" w:rsidP="008E3B50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b/>
          <w:bCs/>
          <w:color w:val="000000"/>
          <w:kern w:val="24"/>
        </w:rPr>
      </w:pPr>
    </w:p>
    <w:p w:rsidR="00751A86" w:rsidRDefault="00751A86" w:rsidP="008E3B50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b/>
          <w:bCs/>
          <w:color w:val="000000"/>
          <w:kern w:val="24"/>
        </w:rPr>
      </w:pPr>
    </w:p>
    <w:p w:rsidR="008E3B50" w:rsidRDefault="008E3B50" w:rsidP="008E3B50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b/>
          <w:bCs/>
          <w:color w:val="000000"/>
          <w:kern w:val="24"/>
        </w:rPr>
      </w:pPr>
      <w:r w:rsidRPr="008E3B50">
        <w:rPr>
          <w:b/>
          <w:bCs/>
          <w:color w:val="000000"/>
          <w:kern w:val="24"/>
        </w:rPr>
        <w:t>Résumé</w:t>
      </w:r>
      <w:r>
        <w:rPr>
          <w:b/>
          <w:bCs/>
          <w:color w:val="000000"/>
          <w:kern w:val="24"/>
        </w:rPr>
        <w:t xml:space="preserve"> : </w:t>
      </w:r>
    </w:p>
    <w:p w:rsidR="008E3B50" w:rsidRDefault="008E3B50" w:rsidP="008E3B50">
      <w:pPr>
        <w:pStyle w:val="NormalWeb"/>
        <w:spacing w:before="0" w:beforeAutospacing="0" w:after="0" w:afterAutospacing="0" w:line="360" w:lineRule="auto"/>
        <w:jc w:val="both"/>
        <w:textAlignment w:val="baseline"/>
        <w:rPr>
          <w:color w:val="000000"/>
          <w:kern w:val="24"/>
        </w:rPr>
      </w:pPr>
      <w:r w:rsidRPr="008E3B50">
        <w:rPr>
          <w:color w:val="000000"/>
          <w:kern w:val="24"/>
        </w:rPr>
        <w:t>L’objectif de ce travail est d’étudier la production du bioéthanol à partir du Ghars. Le sucre fermentescible est extrait à partir de cette ressource à l’aide de l’eau chaude (80°C). Le moût obtenu est caractérisé. Le taux d’extraction des sucres est étudié en fonction de la masse initi</w:t>
      </w:r>
      <w:r>
        <w:rPr>
          <w:color w:val="000000"/>
          <w:kern w:val="24"/>
        </w:rPr>
        <w:t xml:space="preserve">ale du Ghars. </w:t>
      </w:r>
      <w:r w:rsidRPr="008E3B50">
        <w:rPr>
          <w:color w:val="000000"/>
          <w:kern w:val="24"/>
        </w:rPr>
        <w:t xml:space="preserve"> Le taux de conversion des sucres ainsi que la teneur en alcool augmentent lor</w:t>
      </w:r>
      <w:r>
        <w:rPr>
          <w:color w:val="000000"/>
          <w:kern w:val="24"/>
        </w:rPr>
        <w:t>sque la dose en levure augmente.</w:t>
      </w:r>
      <w:r w:rsidRPr="008E3B50">
        <w:rPr>
          <w:color w:val="000000"/>
          <w:kern w:val="24"/>
        </w:rPr>
        <w:t xml:space="preserve"> Deux sels nutritifs ont été essayés, les sulfates d’ammonium  et les sulfates de magnésium avec différentes masses, Un milieu de culture spécifique a été testé, il s’avère que celui-ci est plus efficace et donne des meilleurs taux de conversion. En fin l’évolution de la fermentation au cours du temps est suivie.</w:t>
      </w:r>
    </w:p>
    <w:p w:rsidR="009565E3" w:rsidRDefault="009565E3">
      <w:bookmarkStart w:id="0" w:name="_GoBack"/>
      <w:bookmarkEnd w:id="0"/>
    </w:p>
    <w:sectPr w:rsidR="009565E3" w:rsidSect="00963F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E3B50"/>
    <w:rsid w:val="00751A86"/>
    <w:rsid w:val="008E3B50"/>
    <w:rsid w:val="009565E3"/>
    <w:rsid w:val="00963F92"/>
    <w:rsid w:val="00B912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3F9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E3B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846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traitement</cp:lastModifiedBy>
  <cp:revision>2</cp:revision>
  <dcterms:created xsi:type="dcterms:W3CDTF">2016-12-07T12:55:00Z</dcterms:created>
  <dcterms:modified xsi:type="dcterms:W3CDTF">2016-12-07T12:55:00Z</dcterms:modified>
</cp:coreProperties>
</file>