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3D9E" w:rsidRDefault="008271B4">
      <w:r w:rsidRPr="008271B4">
        <w:t>Une quantité fondamentale à déterminer avec la plus grande précision en astrophysique nucléaire pour rendre compte de la production d'énergie et de la synthèse des éléments chimiques dans les étoiles et l'univers est le taux de réaction. Son  calcul est l'un des buts principaux dans l'étude des réactions de fusion thermonucléaire qui jouent un rôle important dans la compréhension de l'origine et la composition de l'univers, non seulement lors de la nucléosynthèse primordiale mais aussi lors de la naissance et de l'évolution des étoiles. Aux énergies stellaires, l'effet de la barrière coulombienne est responsable de la chute brutale des sections efficaces de ces réactions qui sont extrêmement difficiles, voire impossibles à mesurer en laboratoire autour de la fenêtre de Gamow. Pour extraire, néanmoins, le facteur astrophysique S(E) permettant de réduire la forte dépendance en énergie des sections efficaces, l'on procède à l'extrapolation des valeurs mesurées aux énergies plus élevées accessibles à l'expérience au moyen d'une théorie fiable des réactions nucléaires. Nous avons appliqué cette méthode à la réaction 15N(p,?)12C impliquée dans le cycle CNO froid de combustion de l'hydrogène en ajustant les données expérimentales correspondantes dans le cadre du formalisme de la Matrice-R. Dans cette analyse, trois niveaux excités du noyau composé 16O et un niveau large supplémentaire sous le seuil de la réaction ont été considérés. Des ajustements satisfaisants ont été obtenus  simultanément pour les données de S(E) et des distributions angulaires avec les mêmes paramètres de 16O.  De nouvelles valeurs de ces derniers (énergie d'excitation, spin-parité, largeurs totales, largeurs partielles et largeurs réduites) et du rayon de voie ont été déterminées. Notre analyse rend compte de l'interférence entre niveaux de même spin et parité et de la forte anisotropie des distributions angulaires expérimentales. Le taux de réaction a été calculé aux températures stellaires à partir de facteur astrophysique à l'énergie zéro, S(0), et comparé à ceux rapportés dans la littérature.</w:t>
      </w:r>
    </w:p>
    <w:sectPr w:rsidR="00C23D9E" w:rsidSect="00C23D9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271B4"/>
    <w:rsid w:val="008271B4"/>
    <w:rsid w:val="00C23D9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3D9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1777</Characters>
  <Application>Microsoft Office Word</Application>
  <DocSecurity>0</DocSecurity>
  <Lines>14</Lines>
  <Paragraphs>4</Paragraphs>
  <ScaleCrop>false</ScaleCrop>
  <Company/>
  <LinksUpToDate>false</LinksUpToDate>
  <CharactersWithSpaces>2095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2015-01-13T12:08:00Z</dcterms:created>
  <dcterms:modified xsi:type="dcterms:W3CDTF">2015-01-13T12:08:00Z</dcterms:modified>
</cp:coreProperties>
</file>